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D16</w:t>
      </w:r>
      <w:r w:rsidRPr="00F738BC">
        <w:t>.</w:t>
      </w:r>
      <w:r>
        <w:t xml:space="preserve"> </w:t>
      </w:r>
      <w:r w:rsidRPr="00431D75">
        <w:t xml:space="preserve">Medication </w:t>
      </w:r>
      <w:r w:rsidRPr="00BD07D2">
        <w:t>adherence</w:t>
      </w:r>
      <w:r w:rsidRPr="00431D75">
        <w:t xml:space="preserve"> subgroup outcome</w:t>
      </w:r>
      <w:r>
        <w:t xml:space="preserve">s, part 2 </w:t>
      </w:r>
    </w:p>
    <w:tbl>
      <w:tblPr>
        <w:tblStyle w:val="EPC4"/>
        <w:tblW w:w="12960" w:type="dxa"/>
        <w:tblLayout w:type="fixed"/>
        <w:tblLook w:val="04A0"/>
      </w:tblPr>
      <w:tblGrid>
        <w:gridCol w:w="1730"/>
        <w:gridCol w:w="1478"/>
        <w:gridCol w:w="1601"/>
        <w:gridCol w:w="1847"/>
        <w:gridCol w:w="1724"/>
        <w:gridCol w:w="1231"/>
        <w:gridCol w:w="1354"/>
        <w:gridCol w:w="1995"/>
      </w:tblGrid>
      <w:tr w:rsidR="008B7429" w:rsidRPr="00073B05" w:rsidTr="00D95774">
        <w:trPr>
          <w:cnfStyle w:val="100000000000"/>
          <w:cantSplit/>
          <w:tblHeader/>
        </w:trPr>
        <w:tc>
          <w:tcPr>
            <w:tcW w:w="1730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Author, Year</w:t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Trial name </w:t>
            </w:r>
          </w:p>
        </w:tc>
        <w:tc>
          <w:tcPr>
            <w:tcW w:w="1478" w:type="dxa"/>
            <w:vAlign w:val="bottom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Subgroup</w:t>
            </w:r>
          </w:p>
        </w:tc>
        <w:tc>
          <w:tcPr>
            <w:tcW w:w="1601" w:type="dxa"/>
            <w:vAlign w:val="bottom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Specific Subgroup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</w:tc>
        <w:tc>
          <w:tcPr>
            <w:tcW w:w="1847" w:type="dxa"/>
            <w:vAlign w:val="bottom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Medication Adherence Outcome 1 for subgroup</w:t>
            </w:r>
          </w:p>
        </w:tc>
        <w:tc>
          <w:tcPr>
            <w:tcW w:w="1724" w:type="dxa"/>
            <w:vAlign w:val="bottom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Description of Timing of Measurement of Adherence Outcome </w:t>
            </w:r>
          </w:p>
        </w:tc>
        <w:tc>
          <w:tcPr>
            <w:tcW w:w="1231" w:type="dxa"/>
            <w:vAlign w:val="bottom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Data Source </w:t>
            </w:r>
          </w:p>
        </w:tc>
        <w:tc>
          <w:tcPr>
            <w:tcW w:w="1354" w:type="dxa"/>
            <w:vAlign w:val="bottom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N</w:t>
            </w:r>
          </w:p>
        </w:tc>
        <w:tc>
          <w:tcPr>
            <w:tcW w:w="1995" w:type="dxa"/>
            <w:vAlign w:val="bottom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Results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t>Bogner et al., 2008</w:t>
            </w:r>
            <w:r w:rsidR="0063163E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</w:t>
            </w:r>
            <w:r w:rsidR="0063163E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Hypertension comorbidity</w:t>
            </w:r>
          </w:p>
        </w:tc>
        <w:tc>
          <w:tcPr>
            <w:tcW w:w="1601" w:type="dxa"/>
          </w:tcPr>
          <w:p w:rsidR="008B7429" w:rsidRPr="00073B05" w:rsidDel="00F94E8B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Hypertension comorbidity</w:t>
            </w:r>
          </w:p>
        </w:tc>
        <w:tc>
          <w:tcPr>
            <w:tcW w:w="184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Hypertension adherence: % of prescribed doses taken; calculated as number of doses taken divided by the number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of doses prescribed during the observation period multiplied by 100% - dichotomized with 80% threshold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Measured over 6 week study period for entire study period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32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25 (78.1)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10 (31.3)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&lt;.001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Older African American primary care patients</w:t>
            </w:r>
          </w:p>
        </w:tc>
        <w:tc>
          <w:tcPr>
            <w:tcW w:w="1601" w:type="dxa"/>
          </w:tcPr>
          <w:p w:rsidR="008B7429" w:rsidRPr="00073B05" w:rsidDel="00F94E8B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Older African American primary care patients</w:t>
            </w:r>
          </w:p>
        </w:tc>
        <w:tc>
          <w:tcPr>
            <w:tcW w:w="184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&gt;80% adherence to an antidepressant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4 times, biweekly beginning at baseline and ending at week 6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8 (27.6%)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4 (13.8%)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0.17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 at 6 weeks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18 (62.1%)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3 (10.3%)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60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847" w:type="dxa"/>
            <w:noWrap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Katon et al., 1999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Severity of Depression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(reported in 3169 Katon)</w:t>
            </w:r>
          </w:p>
        </w:tc>
        <w:tc>
          <w:tcPr>
            <w:tcW w:w="160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Moderate depression (defined as SCL-20 score between 1.0-2.0)</w:t>
            </w:r>
          </w:p>
        </w:tc>
        <w:tc>
          <w:tcPr>
            <w:tcW w:w="184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Adherence to adequate dosage of antidepressants for at least 90 days out of previous six months, measured twice at 6 &amp; 12 months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Timeframe: six months; measured twice, at 6 months and 12 months after study began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Overall N: 149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6 months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>: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76%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46%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Chi-square (1)= 6.10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&lt; 0.05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12 months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>: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"Similar, but nonsignificant, trends were observed for the second 6-month block."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For 18-, 24- and 30-months: "the percentages were very similar for the treatment groups"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60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84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≥80% adherence to all medications, %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last 2 months; 4 times (including baseline at 8 months); 2 months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77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69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97.4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21.7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p&lt;0.001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Lin et al., 2006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Depression comorbidity</w:t>
            </w:r>
          </w:p>
        </w:tc>
        <w:tc>
          <w:tcPr>
            <w:tcW w:w="160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Depression comorbidity</w:t>
            </w:r>
          </w:p>
        </w:tc>
        <w:tc>
          <w:tcPr>
            <w:tcW w:w="1847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Adjusted mean difference in percentage of days nonadherent (baseline minus endpoint)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Oral hypoglycemic agent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 xml:space="preserve">G1: 103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103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Endpoint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103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103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ACE inhibitor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54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65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59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52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Lipid-lowering agent</w:t>
            </w: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50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52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54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63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Oral hypoglycemic agent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= -6.3%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 xml:space="preserve">95% CI, -11.91 to 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-0.71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NS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ACE inhibitor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= 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-2.5%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-8.69 to 3.70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NS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 xml:space="preserve">Lipid-lowering agent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>(%) = -0.2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-7.23 to 6.76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NS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Pyne et al., 2011</w:t>
            </w:r>
            <w:r w:rsidR="0063163E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szCs w:val="18"/>
              </w:rPr>
            </w:r>
            <w:r w:rsidR="0063163E" w:rsidRPr="00073B05">
              <w:rPr>
                <w:rFonts w:ascii="Arial" w:hAnsi="Arial" w:cs="Arial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szCs w:val="18"/>
              </w:rPr>
            </w:r>
            <w:r w:rsidR="0063163E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63163E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Entire study is conducted in subgroup with HIV comorbidity</w:t>
            </w:r>
          </w:p>
        </w:tc>
        <w:tc>
          <w:tcPr>
            <w:tcW w:w="160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84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(≥70 years old)</w:t>
            </w:r>
          </w:p>
        </w:tc>
        <w:tc>
          <w:tcPr>
            <w:tcW w:w="160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847" w:type="dxa"/>
            <w:noWrap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Schneider et al., 2008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60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84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Medication possession ratio (sum of day's supply for all rxs received during the study divided by the number of days between the dates of the 1st and last rx dispensing)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Calculated for all previous months at 6 month and 12 month follow-ups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47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38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Mean (SD)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0.93 (11.4)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0.87 (14.2)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0.039</w:t>
            </w:r>
          </w:p>
        </w:tc>
      </w:tr>
      <w:tr w:rsidR="008B7429" w:rsidRPr="00073B05" w:rsidTr="00D95774">
        <w:trPr>
          <w:cantSplit/>
          <w:trHeight w:val="287"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Zhang et al., 2010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63163E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N/A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years)</w:t>
            </w:r>
          </w:p>
        </w:tc>
        <w:tc>
          <w:tcPr>
            <w:tcW w:w="160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847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</w:tbl>
    <w:p w:rsidR="00124C78" w:rsidRDefault="00124C78" w:rsidP="00577FFD">
      <w:pPr>
        <w:rPr>
          <w:rFonts w:ascii="Arial" w:hAnsi="Arial" w:cs="Arial"/>
          <w:sz w:val="18"/>
          <w:szCs w:val="18"/>
        </w:rPr>
      </w:pPr>
    </w:p>
    <w:sectPr w:rsidR="00124C78" w:rsidSect="00577FFD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1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0E" w:rsidRDefault="0004420E">
      <w:r>
        <w:separator/>
      </w:r>
    </w:p>
  </w:endnote>
  <w:endnote w:type="continuationSeparator" w:id="0">
    <w:p w:rsidR="0004420E" w:rsidRDefault="0004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577FFD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577FFD">
      <w:rPr>
        <w:rFonts w:ascii="Times New Roman" w:hAnsi="Times New Roman"/>
        <w:sz w:val="24"/>
        <w:szCs w:val="24"/>
      </w:rPr>
      <w:t>D</w:t>
    </w:r>
    <w:r w:rsidR="00124C78" w:rsidRPr="00577FFD">
      <w:rPr>
        <w:rFonts w:ascii="Times New Roman" w:hAnsi="Times New Roman"/>
        <w:sz w:val="24"/>
        <w:szCs w:val="24"/>
      </w:rPr>
      <w:t>-</w:t>
    </w:r>
    <w:r w:rsidR="0063163E" w:rsidRPr="00577FFD">
      <w:rPr>
        <w:rFonts w:ascii="Times New Roman" w:hAnsi="Times New Roman"/>
        <w:b/>
        <w:sz w:val="24"/>
        <w:szCs w:val="24"/>
      </w:rPr>
      <w:fldChar w:fldCharType="begin"/>
    </w:r>
    <w:r w:rsidR="00124C78" w:rsidRPr="00577FFD">
      <w:rPr>
        <w:rFonts w:ascii="Times New Roman" w:hAnsi="Times New Roman"/>
        <w:sz w:val="24"/>
        <w:szCs w:val="24"/>
      </w:rPr>
      <w:instrText xml:space="preserve"> PAGE   \* MERGEFORMAT </w:instrText>
    </w:r>
    <w:r w:rsidR="0063163E" w:rsidRPr="00577FFD">
      <w:rPr>
        <w:rFonts w:ascii="Times New Roman" w:hAnsi="Times New Roman"/>
        <w:b/>
        <w:sz w:val="24"/>
        <w:szCs w:val="24"/>
      </w:rPr>
      <w:fldChar w:fldCharType="separate"/>
    </w:r>
    <w:r w:rsidR="00577FFD">
      <w:rPr>
        <w:rFonts w:ascii="Times New Roman" w:hAnsi="Times New Roman"/>
        <w:noProof/>
        <w:sz w:val="24"/>
        <w:szCs w:val="24"/>
      </w:rPr>
      <w:t>184</w:t>
    </w:r>
    <w:r w:rsidR="0063163E" w:rsidRPr="00577FF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0E" w:rsidRDefault="0004420E">
      <w:r>
        <w:separator/>
      </w:r>
    </w:p>
  </w:footnote>
  <w:footnote w:type="continuationSeparator" w:id="0">
    <w:p w:rsidR="0004420E" w:rsidRDefault="00044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4420E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77FFD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163E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033A5-15ED-4B3B-83B8-5F825718A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B1B9B-CD76-49F0-998C-D0B48CC4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8288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2012-09-29T12:01:00Z</dcterms:created>
  <dcterms:modified xsi:type="dcterms:W3CDTF">2012-09-29T12:01:00Z</dcterms:modified>
</cp:coreProperties>
</file>