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4B" w:rsidRDefault="0065344B" w:rsidP="0065344B">
      <w:pPr>
        <w:pStyle w:val="TableTitle"/>
      </w:pPr>
      <w:r>
        <w:t xml:space="preserve">Appendix </w:t>
      </w:r>
      <w:r w:rsidRPr="007C510D">
        <w:t xml:space="preserve">Table </w:t>
      </w:r>
      <w:r>
        <w:t>F7.</w:t>
      </w:r>
      <w:r w:rsidRPr="007C510D">
        <w:t xml:space="preserve"> </w:t>
      </w:r>
      <w:r w:rsidRPr="003E6D36">
        <w:t xml:space="preserve">Assessment of </w:t>
      </w:r>
      <w:r>
        <w:t>r</w:t>
      </w:r>
      <w:r w:rsidRPr="003E6D36">
        <w:t xml:space="preserve">isk of </w:t>
      </w:r>
      <w:r>
        <w:t>b</w:t>
      </w:r>
      <w:r w:rsidRPr="003E6D36">
        <w:t xml:space="preserve">ias for </w:t>
      </w:r>
      <w:r>
        <w:t>s</w:t>
      </w:r>
      <w:r w:rsidRPr="007C510D">
        <w:t xml:space="preserve">tudies </w:t>
      </w:r>
      <w:r>
        <w:t>of patients selected on the basis of platelet reactivity testing and then randomized into alternative antiplatelet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87"/>
        <w:gridCol w:w="739"/>
        <w:gridCol w:w="342"/>
        <w:gridCol w:w="664"/>
        <w:gridCol w:w="616"/>
        <w:gridCol w:w="986"/>
        <w:gridCol w:w="825"/>
        <w:gridCol w:w="616"/>
        <w:gridCol w:w="379"/>
        <w:gridCol w:w="342"/>
        <w:gridCol w:w="351"/>
        <w:gridCol w:w="1156"/>
        <w:gridCol w:w="1156"/>
        <w:gridCol w:w="834"/>
        <w:gridCol w:w="872"/>
        <w:gridCol w:w="919"/>
        <w:gridCol w:w="853"/>
        <w:gridCol w:w="351"/>
      </w:tblGrid>
      <w:tr w:rsidR="0065344B" w:rsidRPr="008A0466" w:rsidTr="007B0DD7">
        <w:trPr>
          <w:cantSplit/>
        </w:trPr>
        <w:tc>
          <w:tcPr>
            <w:tcW w:w="0" w:type="auto"/>
            <w:shd w:val="clear" w:color="auto" w:fill="auto"/>
          </w:tcPr>
          <w:p w:rsidR="0065344B" w:rsidRPr="008A0466" w:rsidRDefault="0065344B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 xml:space="preserve">Author </w:t>
            </w:r>
          </w:p>
          <w:p w:rsidR="0065344B" w:rsidRPr="008A0466" w:rsidRDefault="0065344B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:rsidR="0065344B" w:rsidRPr="008A0466" w:rsidRDefault="0065344B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  <w:p w:rsidR="0065344B" w:rsidRPr="008A0466" w:rsidRDefault="0065344B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UID</w:t>
            </w:r>
          </w:p>
          <w:p w:rsidR="0065344B" w:rsidRPr="008A0466" w:rsidRDefault="0065344B" w:rsidP="007B0D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Study name (if available)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Q17</w:t>
            </w:r>
          </w:p>
        </w:tc>
      </w:tr>
      <w:tr w:rsidR="0065344B" w:rsidRPr="008A0466" w:rsidTr="007B0DD7">
        <w:trPr>
          <w:cantSplit/>
        </w:trPr>
        <w:tc>
          <w:tcPr>
            <w:tcW w:w="0" w:type="auto"/>
            <w:shd w:val="clear" w:color="auto" w:fill="auto"/>
          </w:tcPr>
          <w:p w:rsidR="0065344B" w:rsidRPr="008A0466" w:rsidRDefault="0065344B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Price</w:t>
            </w:r>
          </w:p>
          <w:p w:rsidR="0065344B" w:rsidRPr="008A0466" w:rsidRDefault="0065344B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2011</w:t>
            </w:r>
          </w:p>
          <w:p w:rsidR="0065344B" w:rsidRPr="008A0466" w:rsidRDefault="0065344B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Multinational</w:t>
            </w:r>
          </w:p>
          <w:p w:rsidR="0065344B" w:rsidRPr="008A0466" w:rsidRDefault="0065344B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21406646</w:t>
            </w:r>
          </w:p>
          <w:p w:rsidR="0065344B" w:rsidRPr="008A0466" w:rsidRDefault="0065344B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GRAVITAS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 xml:space="preserve">Low </w:t>
            </w:r>
          </w:p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(protocol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A0466">
              <w:rPr>
                <w:rFonts w:ascii="Arial" w:hAnsi="Arial" w:cs="Arial"/>
                <w:sz w:val="18"/>
                <w:szCs w:val="18"/>
              </w:rPr>
              <w:t>specified)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(6 mo)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(centralized, interactive voice-response system)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(encrypted reactivity values; central randomization)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(encrypted reactivity values and placebo-controlled design)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(blinded clinical events committee)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65344B" w:rsidRPr="008A0466" w:rsidTr="007B0DD7">
        <w:trPr>
          <w:cantSplit/>
        </w:trPr>
        <w:tc>
          <w:tcPr>
            <w:tcW w:w="0" w:type="auto"/>
            <w:shd w:val="clear" w:color="auto" w:fill="auto"/>
          </w:tcPr>
          <w:p w:rsidR="0065344B" w:rsidRPr="008A0466" w:rsidRDefault="0065344B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Palmerini</w:t>
            </w:r>
          </w:p>
          <w:p w:rsidR="0065344B" w:rsidRPr="008A0466" w:rsidRDefault="0065344B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2010</w:t>
            </w:r>
          </w:p>
          <w:p w:rsidR="0065344B" w:rsidRPr="008A0466" w:rsidRDefault="0065344B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Italy</w:t>
            </w:r>
          </w:p>
          <w:p w:rsidR="0065344B" w:rsidRPr="008A0466" w:rsidRDefault="0065344B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19604542</w:t>
            </w:r>
          </w:p>
          <w:p w:rsidR="0065344B" w:rsidRPr="008A0466" w:rsidRDefault="0065344B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DOUBLE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(cut-off for response was based on prior literature; unclear choice of cut-off for selection of patients)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(patients with AEs were excluded from analyses of reactivity; no other clinical outcomes assessed)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(1 mo)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(computer-generated random sequence)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65344B" w:rsidRPr="008A0466" w:rsidTr="007B0DD7">
        <w:trPr>
          <w:cantSplit/>
        </w:trPr>
        <w:tc>
          <w:tcPr>
            <w:tcW w:w="0" w:type="auto"/>
            <w:shd w:val="clear" w:color="auto" w:fill="auto"/>
          </w:tcPr>
          <w:p w:rsidR="0065344B" w:rsidRPr="008A0466" w:rsidRDefault="0065344B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lastRenderedPageBreak/>
              <w:t>Valgimigli</w:t>
            </w:r>
          </w:p>
          <w:p w:rsidR="0065344B" w:rsidRPr="008A0466" w:rsidRDefault="0065344B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2009</w:t>
            </w:r>
          </w:p>
          <w:p w:rsidR="0065344B" w:rsidRPr="008A0466" w:rsidRDefault="0065344B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Italy</w:t>
            </w:r>
          </w:p>
          <w:p w:rsidR="0065344B" w:rsidRPr="008A0466" w:rsidRDefault="0065344B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19528337</w:t>
            </w:r>
          </w:p>
          <w:p w:rsidR="0065344B" w:rsidRPr="008A0466" w:rsidRDefault="0065344B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3T/2R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(“all patients”)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(threshold based on prior literature)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(1 mo)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(block of 6, stratified (stable or unstable CAD; and response status) by a local nurse using sealed envelopes)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(local randomization using envelopes)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(uncertainty in estimates was reported)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(only limited outcomes were reported in the clopidogrel non-responsive patients)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65344B" w:rsidRPr="008A0466" w:rsidTr="007B0DD7">
        <w:trPr>
          <w:cantSplit/>
        </w:trPr>
        <w:tc>
          <w:tcPr>
            <w:tcW w:w="0" w:type="auto"/>
            <w:shd w:val="clear" w:color="auto" w:fill="auto"/>
          </w:tcPr>
          <w:p w:rsidR="0065344B" w:rsidRPr="008A0466" w:rsidRDefault="0065344B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Cuisset 2008</w:t>
            </w:r>
          </w:p>
          <w:p w:rsidR="0065344B" w:rsidRPr="008A0466" w:rsidRDefault="0065344B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France</w:t>
            </w:r>
          </w:p>
          <w:p w:rsidR="0065344B" w:rsidRPr="008A0466" w:rsidRDefault="0065344B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19463379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(threshold based on prior literature)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(1 mo)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65344B" w:rsidRPr="008A0466" w:rsidTr="007B0DD7">
        <w:trPr>
          <w:cantSplit/>
        </w:trPr>
        <w:tc>
          <w:tcPr>
            <w:tcW w:w="0" w:type="auto"/>
            <w:shd w:val="clear" w:color="auto" w:fill="auto"/>
          </w:tcPr>
          <w:p w:rsidR="0065344B" w:rsidRPr="008A0466" w:rsidRDefault="0065344B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Gurbel 2010</w:t>
            </w:r>
          </w:p>
          <w:p w:rsidR="0065344B" w:rsidRPr="008A0466" w:rsidRDefault="0065344B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Multinational (N. America and Europe)</w:t>
            </w:r>
          </w:p>
          <w:p w:rsidR="0065344B" w:rsidRPr="008A0466" w:rsidRDefault="0065344B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20194878</w:t>
            </w:r>
          </w:p>
          <w:p w:rsidR="0065344B" w:rsidRPr="008A0466" w:rsidRDefault="0065344B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RESPOND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(&gt;5% dropout)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 xml:space="preserve">Low </w:t>
            </w:r>
          </w:p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(single threshold used for stratification; unclear rationale)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(no clinical outcomes)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(30 d)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(centralized block randomization)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344B" w:rsidRPr="008A0466" w:rsidRDefault="0065344B" w:rsidP="007B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</w:tbl>
    <w:p w:rsidR="0065344B" w:rsidRPr="00E97278" w:rsidRDefault="0065344B" w:rsidP="0065344B">
      <w:pPr>
        <w:pStyle w:val="TableNote"/>
      </w:pPr>
      <w:r>
        <w:t>*</w:t>
      </w:r>
      <w:r w:rsidRPr="00DE1EA6">
        <w:t>Despite including both responders and non-responders, this study was categorized as a study of randomized treatment after test-based selection because patients were assigned to different treatments during the course of the study based on their original response status.</w:t>
      </w:r>
      <w:r>
        <w:br/>
      </w:r>
      <w:r w:rsidRPr="00DE1EA6">
        <w:rPr>
          <w:b/>
        </w:rPr>
        <w:t>Abbreviations:</w:t>
      </w:r>
      <w:r>
        <w:t xml:space="preserve"> AE = adverse event; CAD = coronary artery disease; mo = month;</w:t>
      </w:r>
      <w:r w:rsidRPr="009B6020">
        <w:t xml:space="preserve"> </w:t>
      </w:r>
      <w:r>
        <w:t>PMID = PubMed identification number.</w:t>
      </w:r>
    </w:p>
    <w:p w:rsidR="0065344B" w:rsidRPr="00DE1EA6" w:rsidRDefault="0065344B" w:rsidP="0065344B">
      <w:pPr>
        <w:pStyle w:val="TableNote"/>
        <w:rPr>
          <w:szCs w:val="18"/>
        </w:rPr>
      </w:pPr>
      <w:r w:rsidRPr="00DE1EA6">
        <w:rPr>
          <w:b/>
          <w:szCs w:val="18"/>
          <w:u w:val="single"/>
        </w:rPr>
        <w:t>Quality items</w:t>
      </w:r>
      <w:r>
        <w:rPr>
          <w:b/>
          <w:szCs w:val="18"/>
          <w:u w:val="single"/>
        </w:rPr>
        <w:br/>
      </w:r>
      <w:r w:rsidRPr="00DE1EA6">
        <w:rPr>
          <w:szCs w:val="18"/>
        </w:rPr>
        <w:t>Q1: Consecutive sample of patients enrolled</w:t>
      </w:r>
      <w:r>
        <w:rPr>
          <w:szCs w:val="18"/>
        </w:rPr>
        <w:br/>
      </w:r>
      <w:r w:rsidRPr="00DE1EA6">
        <w:rPr>
          <w:szCs w:val="18"/>
        </w:rPr>
        <w:t>Q2: Case-control design avoided</w:t>
      </w:r>
      <w:r>
        <w:rPr>
          <w:szCs w:val="18"/>
        </w:rPr>
        <w:br/>
      </w:r>
      <w:r w:rsidRPr="00DE1EA6">
        <w:rPr>
          <w:szCs w:val="18"/>
        </w:rPr>
        <w:t>Q3: Study avoided inappropriate exclusions and post-hoc exclusions were &lt;5%</w:t>
      </w:r>
      <w:r>
        <w:rPr>
          <w:szCs w:val="18"/>
        </w:rPr>
        <w:br/>
      </w:r>
      <w:r w:rsidRPr="00DE1EA6">
        <w:rPr>
          <w:szCs w:val="18"/>
        </w:rPr>
        <w:t>Q4: Index test results interpreted without knowledge of outcomes?</w:t>
      </w:r>
      <w:r>
        <w:rPr>
          <w:szCs w:val="18"/>
        </w:rPr>
        <w:br/>
      </w:r>
      <w:r w:rsidRPr="00DE1EA6">
        <w:rPr>
          <w:szCs w:val="18"/>
        </w:rPr>
        <w:t>Q5: If a test threshold was used, was it prespecified?</w:t>
      </w:r>
      <w:r>
        <w:rPr>
          <w:szCs w:val="18"/>
        </w:rPr>
        <w:br/>
      </w:r>
      <w:r w:rsidRPr="00DE1EA6">
        <w:rPr>
          <w:szCs w:val="18"/>
        </w:rPr>
        <w:t>Q6: Reference standard likely to correctly classify the target condition (low if at least one clinical outcome assessed)?</w:t>
      </w:r>
      <w:r>
        <w:rPr>
          <w:szCs w:val="18"/>
        </w:rPr>
        <w:br/>
      </w:r>
      <w:r w:rsidRPr="00DE1EA6">
        <w:rPr>
          <w:szCs w:val="18"/>
        </w:rPr>
        <w:t>Q7: Reference standard results interpreted without knowledge of index test results?</w:t>
      </w:r>
      <w:r>
        <w:rPr>
          <w:szCs w:val="18"/>
        </w:rPr>
        <w:br/>
      </w:r>
      <w:r w:rsidRPr="00DE1EA6">
        <w:rPr>
          <w:szCs w:val="18"/>
        </w:rPr>
        <w:t>Q8: Appropriate interval between index test and reference standard (at least 12 mo of followup)?</w:t>
      </w:r>
      <w:r>
        <w:rPr>
          <w:szCs w:val="18"/>
        </w:rPr>
        <w:br/>
      </w:r>
      <w:r w:rsidRPr="00DE1EA6">
        <w:rPr>
          <w:szCs w:val="18"/>
        </w:rPr>
        <w:t>Q9: All patients received a reference standard (outcome data for &gt;90% of patients)?</w:t>
      </w:r>
      <w:r>
        <w:rPr>
          <w:szCs w:val="18"/>
        </w:rPr>
        <w:br/>
      </w:r>
      <w:r w:rsidRPr="00DE1EA6">
        <w:rPr>
          <w:szCs w:val="18"/>
        </w:rPr>
        <w:t>Q10: All patients received the same reference standard?</w:t>
      </w:r>
      <w:r>
        <w:rPr>
          <w:szCs w:val="18"/>
        </w:rPr>
        <w:br/>
      </w:r>
      <w:r w:rsidRPr="00DE1EA6">
        <w:rPr>
          <w:szCs w:val="18"/>
        </w:rPr>
        <w:t>Q11: Random sequence generation</w:t>
      </w:r>
      <w:r>
        <w:rPr>
          <w:szCs w:val="18"/>
        </w:rPr>
        <w:br/>
      </w:r>
      <w:r w:rsidRPr="00DE1EA6">
        <w:rPr>
          <w:szCs w:val="18"/>
        </w:rPr>
        <w:t>Q12: Allocation concealment</w:t>
      </w:r>
      <w:r>
        <w:rPr>
          <w:szCs w:val="18"/>
        </w:rPr>
        <w:br/>
      </w:r>
      <w:r w:rsidRPr="00DE1EA6">
        <w:rPr>
          <w:szCs w:val="18"/>
        </w:rPr>
        <w:t>Q13: Blinding of participants and personnel</w:t>
      </w:r>
      <w:r>
        <w:rPr>
          <w:szCs w:val="18"/>
        </w:rPr>
        <w:br/>
      </w:r>
      <w:r w:rsidRPr="00DE1EA6">
        <w:rPr>
          <w:szCs w:val="18"/>
        </w:rPr>
        <w:lastRenderedPageBreak/>
        <w:t>Q14: Blinding of outcome assessment</w:t>
      </w:r>
      <w:r>
        <w:rPr>
          <w:szCs w:val="18"/>
        </w:rPr>
        <w:br/>
      </w:r>
      <w:r w:rsidRPr="00DE1EA6">
        <w:rPr>
          <w:szCs w:val="18"/>
        </w:rPr>
        <w:t>Q15: Incomplete outcome data (do they report enough data to estimate uncertainty for the primary outcome)</w:t>
      </w:r>
      <w:r>
        <w:rPr>
          <w:szCs w:val="18"/>
        </w:rPr>
        <w:br/>
      </w:r>
      <w:r w:rsidRPr="00DE1EA6">
        <w:rPr>
          <w:szCs w:val="18"/>
        </w:rPr>
        <w:t>Q16: Selective reporting bias (do they report numerical results on the primary and secondary outcome; and are these identified in the methods)</w:t>
      </w:r>
      <w:r>
        <w:rPr>
          <w:szCs w:val="18"/>
        </w:rPr>
        <w:br/>
      </w:r>
      <w:r w:rsidRPr="00DE1EA6">
        <w:rPr>
          <w:szCs w:val="18"/>
        </w:rPr>
        <w:t>Q17: Other bias (e.g., extreme numerical errors and inconsistencies)</w:t>
      </w:r>
    </w:p>
    <w:p w:rsidR="00824199" w:rsidRPr="0065344B" w:rsidRDefault="00824199" w:rsidP="0065344B">
      <w:bookmarkStart w:id="0" w:name="_GoBack"/>
      <w:bookmarkEnd w:id="0"/>
    </w:p>
    <w:sectPr w:rsidR="00824199" w:rsidRPr="0065344B" w:rsidSect="00C24B46">
      <w:footerReference w:type="default" r:id="rId8"/>
      <w:footnotePr>
        <w:numFmt w:val="lowerLetter"/>
        <w:numRestart w:val="eachSect"/>
      </w:footnotePr>
      <w:type w:val="continuous"/>
      <w:pgSz w:w="15840" w:h="12240" w:orient="landscape"/>
      <w:pgMar w:top="1440" w:right="1440" w:bottom="1440" w:left="1440" w:header="720" w:footer="720" w:gutter="0"/>
      <w:pgNumType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A6F" w:rsidRDefault="00167A6F" w:rsidP="00FC3BBE">
      <w:r>
        <w:separator/>
      </w:r>
    </w:p>
  </w:endnote>
  <w:endnote w:type="continuationSeparator" w:id="0">
    <w:p w:rsidR="00167A6F" w:rsidRDefault="00167A6F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4C2C4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F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65344B">
          <w:rPr>
            <w:rFonts w:ascii="Times New Roman" w:hAnsi="Times New Roman"/>
            <w:noProof/>
            <w:sz w:val="24"/>
            <w:szCs w:val="24"/>
          </w:rPr>
          <w:t>14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A6F" w:rsidRDefault="00167A6F" w:rsidP="00FC3BBE">
      <w:r>
        <w:separator/>
      </w:r>
    </w:p>
  </w:footnote>
  <w:footnote w:type="continuationSeparator" w:id="0">
    <w:p w:rsidR="00167A6F" w:rsidRDefault="00167A6F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67A6F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2C4D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B6903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344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4B46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79D54645-02A2-4AA9-B3CB-6F1C7560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EC9F7-B55A-423D-B115-C3E69A07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Lathrop, Stacy (NIH/NLM/NCBI) [C]</cp:lastModifiedBy>
  <cp:revision>5</cp:revision>
  <cp:lastPrinted>2013-09-19T14:49:00Z</cp:lastPrinted>
  <dcterms:created xsi:type="dcterms:W3CDTF">2013-09-27T03:34:00Z</dcterms:created>
  <dcterms:modified xsi:type="dcterms:W3CDTF">2014-08-21T17:34:00Z</dcterms:modified>
</cp:coreProperties>
</file>