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5F471D" w:rsidRDefault="00E60974" w:rsidP="005A44EA">
      <w:pPr>
        <w:pStyle w:val="ChapterHeading"/>
      </w:pPr>
      <w:bookmarkStart w:id="0" w:name="_GoBack"/>
      <w:bookmarkEnd w:id="0"/>
      <w:r>
        <w:t>Appendix F</w:t>
      </w:r>
      <w:r w:rsidRPr="005F471D">
        <w:t xml:space="preserve">. </w:t>
      </w:r>
      <w:r>
        <w:t>Appendix Tables for Key Questions 3 and 4</w:t>
      </w:r>
    </w:p>
    <w:p w:rsidR="00E60974" w:rsidRPr="009D055E" w:rsidRDefault="00E60974" w:rsidP="005E1103">
      <w:pPr>
        <w:rPr>
          <w:rFonts w:ascii="Arial" w:hAnsi="Arial"/>
          <w:b/>
          <w:color w:val="000000"/>
          <w:sz w:val="20"/>
        </w:rPr>
      </w:pPr>
      <w:r w:rsidRPr="009D055E">
        <w:rPr>
          <w:rFonts w:ascii="Arial" w:hAnsi="Arial"/>
          <w:b/>
          <w:color w:val="000000"/>
          <w:sz w:val="20"/>
        </w:rPr>
        <w:t xml:space="preserve">Appendix Table </w:t>
      </w:r>
      <w:proofErr w:type="spellStart"/>
      <w:r>
        <w:rPr>
          <w:rFonts w:ascii="Arial" w:hAnsi="Arial"/>
          <w:b/>
          <w:color w:val="000000"/>
          <w:sz w:val="20"/>
        </w:rPr>
        <w:t>F1</w:t>
      </w:r>
      <w:proofErr w:type="spellEnd"/>
      <w:r>
        <w:rPr>
          <w:rFonts w:ascii="Arial" w:hAnsi="Arial"/>
          <w:b/>
          <w:color w:val="000000"/>
          <w:sz w:val="20"/>
        </w:rPr>
        <w:t>. Assessment of r</w:t>
      </w:r>
      <w:r w:rsidRPr="009D055E">
        <w:rPr>
          <w:rFonts w:ascii="Arial" w:hAnsi="Arial"/>
          <w:b/>
          <w:color w:val="000000"/>
          <w:sz w:val="20"/>
        </w:rPr>
        <w:t xml:space="preserve">isk of </w:t>
      </w:r>
      <w:r>
        <w:rPr>
          <w:rFonts w:ascii="Arial" w:hAnsi="Arial"/>
          <w:b/>
          <w:color w:val="000000"/>
          <w:sz w:val="20"/>
        </w:rPr>
        <w:t>b</w:t>
      </w:r>
      <w:r w:rsidRPr="009D055E">
        <w:rPr>
          <w:rFonts w:ascii="Arial" w:hAnsi="Arial"/>
          <w:b/>
          <w:color w:val="000000"/>
          <w:sz w:val="20"/>
        </w:rPr>
        <w:t xml:space="preserve">ias in </w:t>
      </w:r>
      <w:r>
        <w:rPr>
          <w:rFonts w:ascii="Arial" w:hAnsi="Arial"/>
          <w:b/>
          <w:color w:val="000000"/>
          <w:sz w:val="20"/>
        </w:rPr>
        <w:t>comparative s</w:t>
      </w:r>
      <w:r w:rsidRPr="009D055E">
        <w:rPr>
          <w:rFonts w:ascii="Arial" w:hAnsi="Arial"/>
          <w:b/>
          <w:color w:val="000000"/>
          <w:sz w:val="20"/>
        </w:rPr>
        <w:t>tudie</w:t>
      </w:r>
      <w:r>
        <w:rPr>
          <w:rFonts w:ascii="Arial" w:hAnsi="Arial"/>
          <w:b/>
          <w:color w:val="000000"/>
          <w:sz w:val="20"/>
        </w:rPr>
        <w:t>s of test-and-treat strategies u</w:t>
      </w:r>
      <w:r w:rsidRPr="009D055E">
        <w:rPr>
          <w:rFonts w:ascii="Arial" w:hAnsi="Arial"/>
          <w:b/>
          <w:color w:val="000000"/>
          <w:sz w:val="20"/>
        </w:rPr>
        <w:t xml:space="preserve">sing </w:t>
      </w:r>
      <w:r>
        <w:rPr>
          <w:rFonts w:ascii="Arial" w:hAnsi="Arial"/>
          <w:b/>
          <w:color w:val="000000"/>
          <w:sz w:val="20"/>
        </w:rPr>
        <w:t>g</w:t>
      </w:r>
      <w:r w:rsidRPr="009D055E">
        <w:rPr>
          <w:rFonts w:ascii="Arial" w:hAnsi="Arial"/>
          <w:b/>
          <w:color w:val="000000"/>
          <w:sz w:val="20"/>
        </w:rPr>
        <w:t xml:space="preserve">enetic </w:t>
      </w:r>
      <w:r>
        <w:rPr>
          <w:rFonts w:ascii="Arial" w:hAnsi="Arial"/>
          <w:b/>
          <w:color w:val="000000"/>
          <w:sz w:val="20"/>
        </w:rPr>
        <w:t>t</w:t>
      </w:r>
      <w:r w:rsidRPr="009D055E">
        <w:rPr>
          <w:rFonts w:ascii="Arial" w:hAnsi="Arial"/>
          <w:b/>
          <w:color w:val="000000"/>
          <w:sz w:val="20"/>
        </w:rPr>
        <w:t xml:space="preserve">esting </w:t>
      </w:r>
      <w:r>
        <w:rPr>
          <w:rFonts w:ascii="Arial" w:hAnsi="Arial"/>
          <w:b/>
          <w:color w:val="000000"/>
          <w:sz w:val="20"/>
        </w:rPr>
        <w:t>for</w:t>
      </w:r>
      <w:r w:rsidRPr="009D055E">
        <w:rPr>
          <w:rFonts w:ascii="Arial" w:hAnsi="Arial"/>
          <w:b/>
          <w:color w:val="000000"/>
          <w:sz w:val="20"/>
        </w:rPr>
        <w:t xml:space="preserve"> </w:t>
      </w:r>
      <w:proofErr w:type="spellStart"/>
      <w:r w:rsidRPr="009D055E">
        <w:rPr>
          <w:rFonts w:ascii="Arial" w:hAnsi="Arial"/>
          <w:b/>
          <w:color w:val="000000"/>
          <w:sz w:val="20"/>
        </w:rPr>
        <w:t>CYP2C19</w:t>
      </w:r>
      <w:proofErr w:type="spellEnd"/>
      <w:r w:rsidRPr="009D055E">
        <w:rPr>
          <w:rFonts w:ascii="Arial" w:hAnsi="Arial"/>
          <w:b/>
          <w:color w:val="000000"/>
          <w:sz w:val="20"/>
        </w:rPr>
        <w:t xml:space="preserve"> variants</w:t>
      </w:r>
    </w:p>
    <w:tbl>
      <w:tblPr>
        <w:tblW w:w="15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7"/>
        <w:gridCol w:w="737"/>
        <w:gridCol w:w="457"/>
        <w:gridCol w:w="853"/>
        <w:gridCol w:w="931"/>
        <w:gridCol w:w="824"/>
        <w:gridCol w:w="775"/>
        <w:gridCol w:w="669"/>
        <w:gridCol w:w="829"/>
        <w:gridCol w:w="638"/>
        <w:gridCol w:w="465"/>
        <w:gridCol w:w="1084"/>
        <w:gridCol w:w="1051"/>
        <w:gridCol w:w="1182"/>
        <w:gridCol w:w="1023"/>
        <w:gridCol w:w="845"/>
        <w:gridCol w:w="832"/>
        <w:gridCol w:w="1082"/>
      </w:tblGrid>
      <w:tr w:rsidR="00E60974" w:rsidRPr="00E97278" w:rsidTr="005E1103">
        <w:trPr>
          <w:jc w:val="center"/>
        </w:trPr>
        <w:tc>
          <w:tcPr>
            <w:tcW w:w="12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 xml:space="preserve">Author 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Year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Country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PMID</w:t>
            </w:r>
            <w:proofErr w:type="spellEnd"/>
          </w:p>
          <w:p w:rsidR="00E60974" w:rsidRPr="0002052D" w:rsidRDefault="00E60974" w:rsidP="005E110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Study name (if available)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Q2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Q3</w:t>
            </w:r>
            <w:proofErr w:type="spellEnd"/>
          </w:p>
        </w:tc>
        <w:tc>
          <w:tcPr>
            <w:tcW w:w="931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Q4</w:t>
            </w:r>
            <w:proofErr w:type="spellEnd"/>
          </w:p>
        </w:tc>
        <w:tc>
          <w:tcPr>
            <w:tcW w:w="824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Q5</w:t>
            </w:r>
            <w:proofErr w:type="spellEnd"/>
          </w:p>
        </w:tc>
        <w:tc>
          <w:tcPr>
            <w:tcW w:w="775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Q6</w:t>
            </w:r>
            <w:proofErr w:type="spellEnd"/>
          </w:p>
        </w:tc>
        <w:tc>
          <w:tcPr>
            <w:tcW w:w="669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Q7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Q8</w:t>
            </w:r>
            <w:proofErr w:type="spellEnd"/>
          </w:p>
        </w:tc>
        <w:tc>
          <w:tcPr>
            <w:tcW w:w="638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Q9</w:t>
            </w:r>
            <w:proofErr w:type="spellEnd"/>
          </w:p>
        </w:tc>
        <w:tc>
          <w:tcPr>
            <w:tcW w:w="465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Q10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Q11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Q12</w:t>
            </w:r>
            <w:proofErr w:type="spellEnd"/>
          </w:p>
        </w:tc>
        <w:tc>
          <w:tcPr>
            <w:tcW w:w="1182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Q13</w:t>
            </w:r>
            <w:proofErr w:type="spellEnd"/>
          </w:p>
        </w:tc>
        <w:tc>
          <w:tcPr>
            <w:tcW w:w="1023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Q14</w:t>
            </w:r>
            <w:proofErr w:type="spellEnd"/>
          </w:p>
        </w:tc>
        <w:tc>
          <w:tcPr>
            <w:tcW w:w="845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Q15</w:t>
            </w:r>
            <w:proofErr w:type="spellEnd"/>
          </w:p>
        </w:tc>
        <w:tc>
          <w:tcPr>
            <w:tcW w:w="832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Q16</w:t>
            </w:r>
            <w:proofErr w:type="spellEnd"/>
          </w:p>
        </w:tc>
        <w:tc>
          <w:tcPr>
            <w:tcW w:w="1082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Q17</w:t>
            </w:r>
            <w:proofErr w:type="spellEnd"/>
          </w:p>
        </w:tc>
      </w:tr>
      <w:tr w:rsidR="00E60974" w:rsidRPr="00E97278" w:rsidTr="005E1103">
        <w:trPr>
          <w:jc w:val="center"/>
        </w:trPr>
        <w:tc>
          <w:tcPr>
            <w:tcW w:w="12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Roberts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2012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Canada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22464343</w:t>
            </w:r>
          </w:p>
          <w:p w:rsidR="00E60974" w:rsidRPr="0002052D" w:rsidRDefault="00E60974" w:rsidP="005E1103">
            <w:pPr>
              <w:rPr>
                <w:rFonts w:ascii="Arial Narrow" w:hAnsi="Arial Narrow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RAPID-GENE</w:t>
            </w:r>
          </w:p>
        </w:tc>
        <w:tc>
          <w:tcPr>
            <w:tcW w:w="73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85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(6.5% of enrolled patients were not included in analyses)</w:t>
            </w:r>
          </w:p>
        </w:tc>
        <w:tc>
          <w:tcPr>
            <w:tcW w:w="931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(prospective assessment of genotype)</w:t>
            </w:r>
          </w:p>
        </w:tc>
        <w:tc>
          <w:tcPr>
            <w:tcW w:w="824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775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66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82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 xml:space="preserve">High (maximum </w:t>
            </w:r>
            <w:proofErr w:type="spellStart"/>
            <w:r w:rsidRPr="0002052D">
              <w:rPr>
                <w:rFonts w:ascii="Arial Narrow" w:hAnsi="Arial Narrow" w:cs="Arial"/>
                <w:sz w:val="16"/>
                <w:szCs w:val="16"/>
              </w:rPr>
              <w:t>followup</w:t>
            </w:r>
            <w:proofErr w:type="spellEnd"/>
            <w:r w:rsidRPr="0002052D">
              <w:rPr>
                <w:rFonts w:ascii="Arial Narrow" w:hAnsi="Arial Narrow" w:cs="Arial"/>
                <w:sz w:val="16"/>
                <w:szCs w:val="16"/>
              </w:rPr>
              <w:t xml:space="preserve"> was 30 d)</w:t>
            </w:r>
          </w:p>
        </w:tc>
        <w:tc>
          <w:tcPr>
            <w:tcW w:w="638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65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084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(computer generated; block randomization)</w:t>
            </w:r>
          </w:p>
        </w:tc>
        <w:tc>
          <w:tcPr>
            <w:tcW w:w="1051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 xml:space="preserve">Low 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(opaque, serially numbered, sealed envelopes)</w:t>
            </w:r>
          </w:p>
        </w:tc>
        <w:tc>
          <w:tcPr>
            <w:tcW w:w="1182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 (patients were not masked to treatment allocation; cardiologists and data analysts were masked to genotype and subsequent treatment for the duration of the study)</w:t>
            </w:r>
          </w:p>
        </w:tc>
        <w:tc>
          <w:tcPr>
            <w:tcW w:w="102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845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832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082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</w:tr>
    </w:tbl>
    <w:p w:rsidR="00E60974" w:rsidRPr="00E97278" w:rsidRDefault="00E60974" w:rsidP="005E1103">
      <w:pPr>
        <w:rPr>
          <w:b/>
          <w:u w:val="single"/>
        </w:rPr>
      </w:pPr>
      <w:r w:rsidRPr="00E97278">
        <w:rPr>
          <w:b/>
          <w:u w:val="single"/>
        </w:rPr>
        <w:t>Quality items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Q1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Consecut</w:t>
      </w:r>
      <w:r>
        <w:rPr>
          <w:sz w:val="20"/>
        </w:rPr>
        <w:t>ive sample of patients enrolled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Q2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Case-control design avoided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Q3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Study av</w:t>
      </w:r>
      <w:r>
        <w:rPr>
          <w:sz w:val="20"/>
        </w:rPr>
        <w:t>oided inappropriate exclusions</w:t>
      </w:r>
      <w:r w:rsidRPr="00E97278">
        <w:rPr>
          <w:sz w:val="20"/>
        </w:rPr>
        <w:t xml:space="preserve"> and post-hoc exclusions</w:t>
      </w:r>
      <w:r>
        <w:rPr>
          <w:sz w:val="20"/>
        </w:rPr>
        <w:t xml:space="preserve"> were</w:t>
      </w:r>
      <w:r w:rsidRPr="00E97278">
        <w:rPr>
          <w:sz w:val="20"/>
        </w:rPr>
        <w:t xml:space="preserve"> &lt;5%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Q4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Index test results interpreted without knowledge of outcomes?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Q5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 xml:space="preserve">If a </w:t>
      </w:r>
      <w:r>
        <w:rPr>
          <w:sz w:val="20"/>
        </w:rPr>
        <w:t xml:space="preserve">test </w:t>
      </w:r>
      <w:r w:rsidRPr="00E97278">
        <w:rPr>
          <w:sz w:val="20"/>
        </w:rPr>
        <w:t xml:space="preserve">threshold </w:t>
      </w:r>
      <w:r>
        <w:rPr>
          <w:sz w:val="20"/>
        </w:rPr>
        <w:t xml:space="preserve">was </w:t>
      </w:r>
      <w:r w:rsidRPr="00E97278">
        <w:rPr>
          <w:sz w:val="20"/>
        </w:rPr>
        <w:t xml:space="preserve">used, was it </w:t>
      </w:r>
      <w:proofErr w:type="spellStart"/>
      <w:r w:rsidRPr="00E97278">
        <w:rPr>
          <w:sz w:val="20"/>
        </w:rPr>
        <w:t>prespecified</w:t>
      </w:r>
      <w:proofErr w:type="spellEnd"/>
      <w:r w:rsidRPr="00E97278">
        <w:rPr>
          <w:sz w:val="20"/>
        </w:rPr>
        <w:t>?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Q6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Reference standard likely to correctly classify the target condition (low if at least one clinical outcome assessed)?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Q7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Reference standard results interpreted without knowledge of index test results?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Q8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 xml:space="preserve">Appropriate interval between index test and reference standard (at least 12 </w:t>
      </w:r>
      <w:proofErr w:type="spellStart"/>
      <w:r w:rsidRPr="00E97278">
        <w:rPr>
          <w:sz w:val="20"/>
        </w:rPr>
        <w:t>mo</w:t>
      </w:r>
      <w:proofErr w:type="spellEnd"/>
      <w:r w:rsidRPr="00E97278">
        <w:rPr>
          <w:sz w:val="20"/>
        </w:rPr>
        <w:t xml:space="preserve"> of </w:t>
      </w:r>
      <w:proofErr w:type="spellStart"/>
      <w:r w:rsidRPr="00E97278">
        <w:rPr>
          <w:sz w:val="20"/>
        </w:rPr>
        <w:t>followup</w:t>
      </w:r>
      <w:proofErr w:type="spellEnd"/>
      <w:r w:rsidRPr="00E97278">
        <w:rPr>
          <w:sz w:val="20"/>
        </w:rPr>
        <w:t>)?</w:t>
      </w:r>
    </w:p>
    <w:p w:rsidR="00E60974" w:rsidRPr="008E7687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Q9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All patients received a reference standard (outcome data for &gt;90% of patients)?</w:t>
      </w:r>
    </w:p>
    <w:p w:rsidR="00E60974" w:rsidRPr="008E7687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Q10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All patients received the same reference standard?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Q11</w:t>
      </w:r>
      <w:proofErr w:type="spellEnd"/>
      <w:r w:rsidRPr="008E7687">
        <w:rPr>
          <w:sz w:val="20"/>
        </w:rPr>
        <w:t>: Random sequence generation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Q12</w:t>
      </w:r>
      <w:proofErr w:type="spellEnd"/>
      <w:r w:rsidRPr="008E7687">
        <w:rPr>
          <w:sz w:val="20"/>
        </w:rPr>
        <w:t>: Allocation concealment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Q13</w:t>
      </w:r>
      <w:proofErr w:type="spellEnd"/>
      <w:r w:rsidRPr="008E7687">
        <w:rPr>
          <w:sz w:val="20"/>
        </w:rPr>
        <w:t>: Blinding of participants and personnel</w:t>
      </w:r>
    </w:p>
    <w:p w:rsidR="00CF529B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Q14</w:t>
      </w:r>
      <w:proofErr w:type="spellEnd"/>
      <w:r w:rsidR="00B7157A">
        <w:rPr>
          <w:sz w:val="20"/>
        </w:rPr>
        <w:t>: Blinding of outcome assessment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Q15</w:t>
      </w:r>
      <w:proofErr w:type="spellEnd"/>
      <w:r w:rsidRPr="008E7687">
        <w:rPr>
          <w:sz w:val="20"/>
        </w:rPr>
        <w:t>: Incomplete outcome data (do they report enough data to estimate uncertainty for the primary outcome)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Q16</w:t>
      </w:r>
      <w:proofErr w:type="spellEnd"/>
      <w:r w:rsidRPr="008E7687">
        <w:rPr>
          <w:sz w:val="20"/>
        </w:rPr>
        <w:t>: Selective reporting bias (do they report numerical results on the primary and secondary outcome; and are these identified in the methods)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Q17</w:t>
      </w:r>
      <w:proofErr w:type="spellEnd"/>
      <w:r w:rsidRPr="008E7687">
        <w:rPr>
          <w:sz w:val="20"/>
        </w:rPr>
        <w:t>: Other bias (e.g., extreme numerical errors and inconsistencies)</w:t>
      </w:r>
    </w:p>
    <w:p w:rsidR="00E60974" w:rsidRDefault="00E60974">
      <w:pPr>
        <w:rPr>
          <w:rFonts w:ascii="Arial" w:hAnsi="Arial"/>
          <w:b/>
          <w:color w:val="000000"/>
          <w:sz w:val="20"/>
        </w:rPr>
      </w:pPr>
    </w:p>
    <w:sectPr w:rsidR="00E60974" w:rsidSect="00737422">
      <w:footerReference w:type="default" r:id="rId9"/>
      <w:footnotePr>
        <w:numFmt w:val="lowerLetter"/>
        <w:numRestart w:val="eachSect"/>
      </w:footnotePr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E6" w:rsidRDefault="00325DE6" w:rsidP="00FC3BBE">
      <w:r>
        <w:separator/>
      </w:r>
    </w:p>
  </w:endnote>
  <w:endnote w:type="continuationSeparator" w:id="0">
    <w:p w:rsidR="00325DE6" w:rsidRDefault="00325DE6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4C2C4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F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7124FB">
          <w:rPr>
            <w:rFonts w:ascii="Times New Roman" w:hAnsi="Times New Roman"/>
            <w:noProof/>
            <w:sz w:val="24"/>
            <w:szCs w:val="24"/>
          </w:rPr>
          <w:t>1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E6" w:rsidRDefault="00325DE6" w:rsidP="00FC3BBE">
      <w:r>
        <w:separator/>
      </w:r>
    </w:p>
  </w:footnote>
  <w:footnote w:type="continuationSeparator" w:id="0">
    <w:p w:rsidR="00325DE6" w:rsidRDefault="00325DE6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25DE6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2C4D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B6903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24FB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1F5C7-E1D0-4B4B-9005-74873002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2013-11-11T07:57:00Z</dcterms:modified>
</cp:coreProperties>
</file>