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99" w:rsidRPr="0069565C" w:rsidRDefault="00712499" w:rsidP="00712499">
      <w:pPr>
        <w:pStyle w:val="TableTitle"/>
        <w:rPr>
          <w:i/>
        </w:rPr>
      </w:pPr>
      <w:r w:rsidRPr="0069565C">
        <w:t xml:space="preserve">Appendix Table E99. Results </w:t>
      </w:r>
      <w:r>
        <w:t>f</w:t>
      </w:r>
      <w:r w:rsidRPr="0069565C">
        <w:t xml:space="preserve">rom </w:t>
      </w:r>
      <w:r>
        <w:t>s</w:t>
      </w:r>
      <w:r w:rsidRPr="0069565C">
        <w:t xml:space="preserve">tudies </w:t>
      </w:r>
      <w:r>
        <w:t>a</w:t>
      </w:r>
      <w:r w:rsidRPr="0069565C">
        <w:t xml:space="preserve">ssessing the </w:t>
      </w:r>
      <w:r>
        <w:t>a</w:t>
      </w:r>
      <w:r w:rsidRPr="0069565C">
        <w:t xml:space="preserve">bility of PFA-100 to </w:t>
      </w:r>
      <w:r>
        <w:t>p</w:t>
      </w:r>
      <w:r w:rsidRPr="0069565C">
        <w:t xml:space="preserve">redict </w:t>
      </w:r>
      <w:r>
        <w:t>m</w:t>
      </w:r>
      <w:r w:rsidRPr="0069565C">
        <w:t xml:space="preserve">ajor </w:t>
      </w:r>
      <w:r>
        <w:t>a</w:t>
      </w:r>
      <w:r w:rsidRPr="0069565C">
        <w:t xml:space="preserve">dverse </w:t>
      </w:r>
      <w:r>
        <w:t>c</w:t>
      </w:r>
      <w:r w:rsidRPr="0069565C">
        <w:t xml:space="preserve">ardiovascular </w:t>
      </w:r>
      <w:r>
        <w:t>e</w:t>
      </w:r>
      <w:r w:rsidRPr="0069565C">
        <w:t xml:space="preserve">vents in </w:t>
      </w:r>
      <w:r>
        <w:t>p</w:t>
      </w:r>
      <w:r w:rsidRPr="0069565C">
        <w:t xml:space="preserve">atients </w:t>
      </w:r>
      <w:r>
        <w:t>w</w:t>
      </w:r>
      <w:r w:rsidRPr="0069565C">
        <w:t xml:space="preserve">ith </w:t>
      </w:r>
      <w:r>
        <w:t>i</w:t>
      </w:r>
      <w:r w:rsidRPr="0069565C">
        <w:t xml:space="preserve">schemic </w:t>
      </w:r>
      <w:r>
        <w:t>h</w:t>
      </w:r>
      <w:r w:rsidRPr="0069565C">
        <w:t xml:space="preserve">eart </w:t>
      </w:r>
      <w:r>
        <w:t>d</w:t>
      </w:r>
      <w:r w:rsidRPr="0069565C">
        <w:t>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801"/>
        <w:gridCol w:w="732"/>
        <w:gridCol w:w="800"/>
        <w:gridCol w:w="1060"/>
        <w:gridCol w:w="1129"/>
        <w:gridCol w:w="915"/>
        <w:gridCol w:w="968"/>
        <w:gridCol w:w="915"/>
        <w:gridCol w:w="499"/>
        <w:gridCol w:w="861"/>
        <w:gridCol w:w="457"/>
        <w:gridCol w:w="877"/>
        <w:gridCol w:w="1366"/>
        <w:gridCol w:w="785"/>
        <w:gridCol w:w="823"/>
      </w:tblGrid>
      <w:tr w:rsidR="00712499" w:rsidRPr="00DD27E0" w:rsidTr="007B0DD7">
        <w:trPr>
          <w:cantSplit/>
          <w:tblHeader/>
        </w:trPr>
        <w:tc>
          <w:tcPr>
            <w:tcW w:w="0" w:type="auto"/>
          </w:tcPr>
          <w:p w:rsidR="00712499" w:rsidRPr="00DD27E0" w:rsidRDefault="00712499" w:rsidP="007B0DD7">
            <w:pPr>
              <w:jc w:val="center"/>
              <w:rPr>
                <w:rFonts w:ascii="Arial" w:hAnsi="Arial" w:cs="Arial"/>
                <w:b/>
                <w:bCs/>
                <w:sz w:val="18"/>
                <w:szCs w:val="18"/>
              </w:rPr>
            </w:pPr>
            <w:r w:rsidRPr="00DD27E0">
              <w:rPr>
                <w:rFonts w:ascii="Arial" w:hAnsi="Arial" w:cs="Arial"/>
                <w:b/>
                <w:bCs/>
                <w:sz w:val="18"/>
                <w:szCs w:val="18"/>
              </w:rPr>
              <w:t>Author, year</w:t>
            </w:r>
          </w:p>
          <w:p w:rsidR="00712499" w:rsidRPr="00DD27E0" w:rsidRDefault="00712499" w:rsidP="007B0DD7">
            <w:pPr>
              <w:jc w:val="center"/>
              <w:rPr>
                <w:rFonts w:ascii="Arial" w:hAnsi="Arial" w:cs="Arial"/>
                <w:b/>
                <w:bCs/>
                <w:sz w:val="18"/>
                <w:szCs w:val="18"/>
              </w:rPr>
            </w:pPr>
            <w:r w:rsidRPr="00DD27E0">
              <w:rPr>
                <w:rFonts w:ascii="Arial" w:hAnsi="Arial" w:cs="Arial"/>
                <w:b/>
                <w:bCs/>
                <w:sz w:val="18"/>
                <w:szCs w:val="18"/>
              </w:rPr>
              <w:t>UID</w:t>
            </w:r>
          </w:p>
          <w:p w:rsidR="00712499" w:rsidRPr="00DD27E0" w:rsidRDefault="00712499" w:rsidP="007B0DD7">
            <w:pPr>
              <w:jc w:val="center"/>
              <w:rPr>
                <w:rFonts w:ascii="Arial" w:hAnsi="Arial" w:cs="Arial"/>
                <w:b/>
                <w:bCs/>
                <w:sz w:val="18"/>
                <w:szCs w:val="18"/>
              </w:rPr>
            </w:pPr>
            <w:r w:rsidRPr="00DD27E0">
              <w:rPr>
                <w:rFonts w:ascii="Arial" w:hAnsi="Arial" w:cs="Arial"/>
                <w:b/>
                <w:bCs/>
                <w:sz w:val="18"/>
                <w:szCs w:val="18"/>
              </w:rPr>
              <w:t>Country</w:t>
            </w:r>
          </w:p>
          <w:p w:rsidR="00712499" w:rsidRPr="00DD27E0" w:rsidRDefault="00712499" w:rsidP="007B0DD7">
            <w:pPr>
              <w:jc w:val="center"/>
              <w:rPr>
                <w:rFonts w:ascii="Arial" w:hAnsi="Arial" w:cs="Arial"/>
                <w:b/>
                <w:bCs/>
                <w:sz w:val="18"/>
                <w:szCs w:val="18"/>
              </w:rPr>
            </w:pPr>
            <w:r w:rsidRPr="00DD27E0">
              <w:rPr>
                <w:rFonts w:ascii="Arial" w:hAnsi="Arial" w:cs="Arial"/>
                <w:b/>
                <w:bCs/>
                <w:sz w:val="18"/>
                <w:szCs w:val="18"/>
              </w:rPr>
              <w:t>Study name</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bCs/>
                <w:sz w:val="18"/>
                <w:szCs w:val="18"/>
              </w:rPr>
              <w:t>Treatment</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bCs/>
                <w:sz w:val="18"/>
                <w:szCs w:val="18"/>
              </w:rPr>
              <w:t>Phenotypic Test Used [index test]</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bCs/>
                <w:sz w:val="18"/>
                <w:szCs w:val="18"/>
              </w:rPr>
              <w:t>Clinical Outcome</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bCs/>
                <w:sz w:val="18"/>
                <w:szCs w:val="18"/>
              </w:rPr>
              <w:t>Outcome Definition</w:t>
            </w:r>
          </w:p>
        </w:tc>
        <w:tc>
          <w:tcPr>
            <w:tcW w:w="0" w:type="auto"/>
            <w:shd w:val="clear" w:color="auto" w:fill="auto"/>
          </w:tcPr>
          <w:p w:rsidR="00712499" w:rsidRPr="00DD27E0" w:rsidRDefault="00712499" w:rsidP="007B0DD7">
            <w:pPr>
              <w:jc w:val="center"/>
              <w:rPr>
                <w:rFonts w:ascii="Arial" w:hAnsi="Arial" w:cs="Arial"/>
                <w:b/>
                <w:bCs/>
                <w:sz w:val="18"/>
                <w:szCs w:val="18"/>
              </w:rPr>
            </w:pPr>
            <w:r w:rsidRPr="00DD27E0">
              <w:rPr>
                <w:rFonts w:ascii="Arial" w:hAnsi="Arial" w:cs="Arial"/>
                <w:b/>
                <w:bCs/>
                <w:sz w:val="18"/>
                <w:szCs w:val="18"/>
              </w:rPr>
              <w:t>Timing of measure</w:t>
            </w:r>
            <w:r>
              <w:rPr>
                <w:rFonts w:ascii="Arial" w:hAnsi="Arial" w:cs="Arial"/>
                <w:b/>
                <w:bCs/>
                <w:sz w:val="18"/>
                <w:szCs w:val="18"/>
              </w:rPr>
              <w:t>-</w:t>
            </w:r>
            <w:r>
              <w:rPr>
                <w:rFonts w:ascii="Arial" w:hAnsi="Arial" w:cs="Arial"/>
                <w:b/>
                <w:bCs/>
                <w:sz w:val="18"/>
                <w:szCs w:val="18"/>
              </w:rPr>
              <w:br/>
            </w:r>
            <w:r w:rsidRPr="00DD27E0">
              <w:rPr>
                <w:rFonts w:ascii="Arial" w:hAnsi="Arial" w:cs="Arial"/>
                <w:b/>
                <w:bCs/>
                <w:sz w:val="18"/>
                <w:szCs w:val="18"/>
              </w:rPr>
              <w:t>ment</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bCs/>
                <w:sz w:val="18"/>
                <w:szCs w:val="18"/>
              </w:rPr>
              <w:t>Index test result: category (e.g., HPR+) – ONE ROW PER PHENOTYPE GROUP</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sz w:val="18"/>
                <w:szCs w:val="18"/>
              </w:rPr>
              <w:t>Outcome status (e.g., bleeding or no bleeding)</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bCs/>
                <w:sz w:val="18"/>
                <w:szCs w:val="18"/>
              </w:rPr>
              <w:t>No. with out</w:t>
            </w:r>
            <w:r>
              <w:rPr>
                <w:rFonts w:ascii="Arial" w:hAnsi="Arial" w:cs="Arial"/>
                <w:b/>
                <w:bCs/>
                <w:sz w:val="18"/>
                <w:szCs w:val="18"/>
              </w:rPr>
              <w:t>-</w:t>
            </w:r>
            <w:r>
              <w:rPr>
                <w:rFonts w:ascii="Arial" w:hAnsi="Arial" w:cs="Arial"/>
                <w:b/>
                <w:bCs/>
                <w:sz w:val="18"/>
                <w:szCs w:val="18"/>
              </w:rPr>
              <w:br/>
            </w:r>
            <w:r w:rsidRPr="00DD27E0">
              <w:rPr>
                <w:rFonts w:ascii="Arial" w:hAnsi="Arial" w:cs="Arial"/>
                <w:b/>
                <w:bCs/>
                <w:sz w:val="18"/>
                <w:szCs w:val="18"/>
              </w:rPr>
              <w:t xml:space="preserve">come status within </w:t>
            </w:r>
            <w:r>
              <w:rPr>
                <w:rFonts w:ascii="Arial" w:hAnsi="Arial" w:cs="Arial"/>
                <w:b/>
                <w:bCs/>
                <w:sz w:val="18"/>
                <w:szCs w:val="18"/>
              </w:rPr>
              <w:t>pheno-</w:t>
            </w:r>
            <w:r>
              <w:rPr>
                <w:rFonts w:ascii="Arial" w:hAnsi="Arial" w:cs="Arial"/>
                <w:b/>
                <w:bCs/>
                <w:sz w:val="18"/>
                <w:szCs w:val="18"/>
              </w:rPr>
              <w:br/>
            </w:r>
            <w:r w:rsidRPr="00DD27E0">
              <w:rPr>
                <w:rFonts w:ascii="Arial" w:hAnsi="Arial" w:cs="Arial"/>
                <w:b/>
                <w:bCs/>
                <w:sz w:val="18"/>
                <w:szCs w:val="18"/>
              </w:rPr>
              <w:t>type group</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bCs/>
                <w:sz w:val="18"/>
                <w:szCs w:val="18"/>
              </w:rPr>
              <w:t>Comparative metric (OR, RR, HR)</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bCs/>
                <w:sz w:val="18"/>
                <w:szCs w:val="18"/>
              </w:rPr>
              <w:t>95% CI</w:t>
            </w:r>
          </w:p>
        </w:tc>
        <w:tc>
          <w:tcPr>
            <w:tcW w:w="0" w:type="auto"/>
            <w:shd w:val="clear" w:color="auto" w:fill="auto"/>
          </w:tcPr>
          <w:p w:rsidR="00712499" w:rsidRPr="00DD27E0" w:rsidRDefault="00712499" w:rsidP="007B0DD7">
            <w:pPr>
              <w:jc w:val="center"/>
              <w:rPr>
                <w:rFonts w:ascii="Arial" w:hAnsi="Arial" w:cs="Arial"/>
                <w:b/>
                <w:bCs/>
                <w:sz w:val="18"/>
                <w:szCs w:val="18"/>
              </w:rPr>
            </w:pPr>
            <w:r w:rsidRPr="00DD27E0">
              <w:rPr>
                <w:rFonts w:ascii="Arial" w:hAnsi="Arial" w:cs="Arial"/>
                <w:b/>
                <w:bCs/>
                <w:sz w:val="18"/>
                <w:szCs w:val="18"/>
              </w:rPr>
              <w:t>P (between which groups?)</w:t>
            </w:r>
          </w:p>
          <w:p w:rsidR="00712499" w:rsidRPr="00DD27E0" w:rsidRDefault="00712499" w:rsidP="007B0DD7">
            <w:pPr>
              <w:jc w:val="center"/>
              <w:rPr>
                <w:rFonts w:ascii="Arial" w:hAnsi="Arial" w:cs="Arial"/>
                <w:b/>
                <w:sz w:val="18"/>
                <w:szCs w:val="18"/>
              </w:rPr>
            </w:pPr>
            <w:r w:rsidRPr="00DD27E0">
              <w:rPr>
                <w:rFonts w:ascii="Arial" w:hAnsi="Arial" w:cs="Arial"/>
                <w:b/>
                <w:bCs/>
                <w:sz w:val="18"/>
                <w:szCs w:val="18"/>
              </w:rPr>
              <w:t>[statistical test]</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sz w:val="18"/>
                <w:szCs w:val="18"/>
              </w:rPr>
              <w:t>Adjusted?</w:t>
            </w:r>
          </w:p>
          <w:p w:rsidR="00712499" w:rsidRPr="00DD27E0" w:rsidRDefault="00712499" w:rsidP="007B0DD7">
            <w:pPr>
              <w:jc w:val="center"/>
              <w:rPr>
                <w:rFonts w:ascii="Arial" w:hAnsi="Arial" w:cs="Arial"/>
                <w:b/>
                <w:sz w:val="18"/>
                <w:szCs w:val="18"/>
              </w:rPr>
            </w:pPr>
            <w:r w:rsidRPr="00DD27E0">
              <w:rPr>
                <w:rFonts w:ascii="Arial" w:hAnsi="Arial" w:cs="Arial"/>
                <w:b/>
                <w:sz w:val="18"/>
                <w:szCs w:val="18"/>
              </w:rPr>
              <w:t>[YES</w:t>
            </w:r>
            <w:r>
              <w:rPr>
                <w:rFonts w:ascii="Arial" w:hAnsi="Arial" w:cs="Arial"/>
                <w:b/>
                <w:sz w:val="18"/>
                <w:szCs w:val="18"/>
              </w:rPr>
              <w:t xml:space="preserve">, </w:t>
            </w:r>
            <w:r w:rsidRPr="00DD27E0">
              <w:rPr>
                <w:rFonts w:ascii="Arial" w:hAnsi="Arial" w:cs="Arial"/>
                <w:b/>
                <w:sz w:val="18"/>
                <w:szCs w:val="18"/>
              </w:rPr>
              <w:t>NO</w:t>
            </w:r>
            <w:r>
              <w:rPr>
                <w:rFonts w:ascii="Arial" w:hAnsi="Arial" w:cs="Arial"/>
                <w:b/>
                <w:sz w:val="18"/>
                <w:szCs w:val="18"/>
              </w:rPr>
              <w:t xml:space="preserve">, </w:t>
            </w:r>
            <w:r w:rsidRPr="00DD27E0">
              <w:rPr>
                <w:rFonts w:ascii="Arial" w:hAnsi="Arial" w:cs="Arial"/>
                <w:b/>
                <w:sz w:val="18"/>
                <w:szCs w:val="18"/>
              </w:rPr>
              <w:t>NR]</w:t>
            </w:r>
          </w:p>
          <w:p w:rsidR="00712499" w:rsidRPr="00DD27E0" w:rsidRDefault="00712499" w:rsidP="007B0DD7">
            <w:pPr>
              <w:jc w:val="center"/>
              <w:rPr>
                <w:rFonts w:ascii="Arial" w:hAnsi="Arial" w:cs="Arial"/>
                <w:b/>
                <w:sz w:val="18"/>
                <w:szCs w:val="18"/>
              </w:rPr>
            </w:pPr>
            <w:r w:rsidRPr="00DD27E0">
              <w:rPr>
                <w:rFonts w:ascii="Arial" w:hAnsi="Arial" w:cs="Arial"/>
                <w:b/>
                <w:sz w:val="18"/>
                <w:szCs w:val="18"/>
              </w:rPr>
              <w:t>If YES, for what factors?</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sz w:val="18"/>
                <w:szCs w:val="18"/>
              </w:rPr>
              <w:t xml:space="preserve">Procedures for multiple </w:t>
            </w:r>
            <w:r>
              <w:rPr>
                <w:rFonts w:ascii="Arial" w:hAnsi="Arial" w:cs="Arial"/>
                <w:b/>
                <w:sz w:val="18"/>
                <w:szCs w:val="18"/>
              </w:rPr>
              <w:t>compari-</w:t>
            </w:r>
            <w:r>
              <w:rPr>
                <w:rFonts w:ascii="Arial" w:hAnsi="Arial" w:cs="Arial"/>
                <w:b/>
                <w:sz w:val="18"/>
                <w:szCs w:val="18"/>
              </w:rPr>
              <w:br/>
            </w:r>
            <w:r w:rsidRPr="00DD27E0">
              <w:rPr>
                <w:rFonts w:ascii="Arial" w:hAnsi="Arial" w:cs="Arial"/>
                <w:b/>
                <w:sz w:val="18"/>
                <w:szCs w:val="18"/>
              </w:rPr>
              <w:t>sons [YES, NO, NR]</w:t>
            </w:r>
          </w:p>
        </w:tc>
        <w:tc>
          <w:tcPr>
            <w:tcW w:w="0" w:type="auto"/>
            <w:shd w:val="clear" w:color="auto" w:fill="auto"/>
          </w:tcPr>
          <w:p w:rsidR="00712499" w:rsidRPr="00DD27E0" w:rsidRDefault="00712499" w:rsidP="007B0DD7">
            <w:pPr>
              <w:jc w:val="center"/>
              <w:rPr>
                <w:rFonts w:ascii="Arial" w:hAnsi="Arial" w:cs="Arial"/>
                <w:b/>
                <w:sz w:val="18"/>
                <w:szCs w:val="18"/>
              </w:rPr>
            </w:pPr>
            <w:r w:rsidRPr="00DD27E0">
              <w:rPr>
                <w:rFonts w:ascii="Arial" w:hAnsi="Arial" w:cs="Arial"/>
                <w:b/>
                <w:sz w:val="18"/>
                <w:szCs w:val="18"/>
              </w:rPr>
              <w:t>Comments (e.g., additional data in figures)</w:t>
            </w: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Foussas,</w:t>
            </w:r>
            <w:r>
              <w:rPr>
                <w:rFonts w:ascii="Arial" w:hAnsi="Arial" w:cs="Arial"/>
                <w:sz w:val="18"/>
                <w:szCs w:val="18"/>
              </w:rPr>
              <w:t xml:space="preserve"> </w:t>
            </w:r>
            <w:r w:rsidRPr="00DD27E0">
              <w:rPr>
                <w:rFonts w:ascii="Arial" w:hAnsi="Arial" w:cs="Arial"/>
                <w:sz w:val="18"/>
                <w:szCs w:val="18"/>
              </w:rPr>
              <w:t>2007</w:t>
            </w:r>
          </w:p>
          <w:p w:rsidR="00712499" w:rsidRPr="00DD27E0" w:rsidRDefault="00712499" w:rsidP="007B0DD7">
            <w:pPr>
              <w:rPr>
                <w:rFonts w:ascii="Arial" w:hAnsi="Arial" w:cs="Arial"/>
                <w:sz w:val="18"/>
                <w:szCs w:val="18"/>
              </w:rPr>
            </w:pPr>
            <w:r w:rsidRPr="00DD27E0">
              <w:rPr>
                <w:rFonts w:ascii="Arial" w:hAnsi="Arial" w:cs="Arial"/>
                <w:sz w:val="18"/>
                <w:szCs w:val="18"/>
              </w:rPr>
              <w:t>17892990</w:t>
            </w:r>
          </w:p>
          <w:p w:rsidR="00712499" w:rsidRPr="00DD27E0" w:rsidRDefault="00712499" w:rsidP="007B0DD7">
            <w:pPr>
              <w:rPr>
                <w:rFonts w:ascii="Arial" w:hAnsi="Arial" w:cs="Arial"/>
                <w:sz w:val="18"/>
                <w:szCs w:val="18"/>
              </w:rPr>
            </w:pPr>
            <w:r w:rsidRPr="00DD27E0">
              <w:rPr>
                <w:rFonts w:ascii="Arial" w:hAnsi="Arial" w:cs="Arial"/>
                <w:sz w:val="18"/>
                <w:szCs w:val="18"/>
              </w:rPr>
              <w:t>Greece</w:t>
            </w:r>
          </w:p>
          <w:p w:rsidR="00712499" w:rsidRPr="00DD27E0" w:rsidRDefault="00712499" w:rsidP="007B0DD7">
            <w:pPr>
              <w:rPr>
                <w:rFonts w:ascii="Arial" w:hAnsi="Arial" w:cs="Arial"/>
                <w:sz w:val="18"/>
                <w:szCs w:val="18"/>
              </w:rPr>
            </w:pPr>
            <w:r w:rsidRPr="00DD27E0">
              <w:rPr>
                <w:rFonts w:ascii="Arial" w:hAnsi="Arial" w:cs="Arial"/>
                <w:sz w:val="18"/>
                <w:szCs w:val="18"/>
              </w:rPr>
              <w:t>None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300 or 600 mg LD and 75mg MD Clopidogrel + 100-325 mg/day aspirin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Composite of cardiac death and rehospitalization for nonfatal MI</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Composite of cardiac death and rehospitalization for nonfatal MI</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1 yr</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Nonresponder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Composite of cardiac death and rehospitaliza</w:t>
            </w:r>
            <w:r>
              <w:rPr>
                <w:rFonts w:ascii="Arial" w:hAnsi="Arial" w:cs="Arial"/>
                <w:sz w:val="18"/>
                <w:szCs w:val="18"/>
              </w:rPr>
              <w:t>-</w:t>
            </w:r>
            <w:r w:rsidRPr="00DD27E0">
              <w:rPr>
                <w:rFonts w:ascii="Arial" w:hAnsi="Arial" w:cs="Arial"/>
                <w:sz w:val="18"/>
                <w:szCs w:val="18"/>
              </w:rPr>
              <w:t>tion for nonfatal MI</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18.7%</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HR= 2.7</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1.6-4.5</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&lt;0.001 non-responder vs. responder (Cox regression)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No</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NONE</w:t>
            </w: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Responder</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7.6%</w:t>
            </w:r>
          </w:p>
        </w:tc>
        <w:tc>
          <w:tcPr>
            <w:tcW w:w="0" w:type="auto"/>
          </w:tcPr>
          <w:p w:rsidR="00712499" w:rsidRPr="00DD27E0" w:rsidRDefault="00712499" w:rsidP="007B0DD7">
            <w:pPr>
              <w:autoSpaceDE w:val="0"/>
              <w:autoSpaceDN w:val="0"/>
              <w:adjustRightInd w:val="0"/>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300 or 600 mg LD and 75mg MD Clopidogrel + 100-325 mg/day aspirin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Composite of cardiac death and rehospitalization for nonfatal MI</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Composite of cardiac death and rehospitalization for nonfatal MI</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1 yr</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Q1 of CEPI-CT (shortest time, least responsive)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Composite of cardiac death and rehospitaliza</w:t>
            </w:r>
            <w:r>
              <w:rPr>
                <w:rFonts w:ascii="Arial" w:hAnsi="Arial" w:cs="Arial"/>
                <w:sz w:val="18"/>
                <w:szCs w:val="18"/>
              </w:rPr>
              <w:t>-</w:t>
            </w:r>
            <w:r w:rsidRPr="00DD27E0">
              <w:rPr>
                <w:rFonts w:ascii="Arial" w:hAnsi="Arial" w:cs="Arial"/>
                <w:sz w:val="18"/>
                <w:szCs w:val="18"/>
              </w:rPr>
              <w:t>tion for nonfatal MI</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18.7%</w:t>
            </w:r>
          </w:p>
        </w:tc>
        <w:tc>
          <w:tcPr>
            <w:tcW w:w="0" w:type="auto"/>
          </w:tcPr>
          <w:p w:rsidR="00712499" w:rsidRPr="00DD27E0" w:rsidRDefault="00712499" w:rsidP="007B0DD7">
            <w:pPr>
              <w:autoSpaceDE w:val="0"/>
              <w:autoSpaceDN w:val="0"/>
              <w:adjustRightInd w:val="0"/>
              <w:rPr>
                <w:rFonts w:ascii="Arial" w:hAnsi="Arial" w:cs="Arial"/>
                <w:sz w:val="18"/>
                <w:szCs w:val="18"/>
              </w:rPr>
            </w:pPr>
            <w:r w:rsidRPr="00DD27E0">
              <w:rPr>
                <w:rFonts w:ascii="Arial" w:hAnsi="Arial" w:cs="Arial"/>
                <w:sz w:val="18"/>
                <w:szCs w:val="18"/>
              </w:rPr>
              <w:t>HR= 3.7</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1.8-7.5</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&lt;0.001 Q1 vs. Q4,for HR and for trend across this and next 3 rows</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Q2</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12.7%</w:t>
            </w:r>
          </w:p>
        </w:tc>
        <w:tc>
          <w:tcPr>
            <w:tcW w:w="0" w:type="auto"/>
          </w:tcPr>
          <w:p w:rsidR="00712499" w:rsidRPr="00DD27E0" w:rsidRDefault="00712499" w:rsidP="007B0DD7">
            <w:pPr>
              <w:autoSpaceDE w:val="0"/>
              <w:autoSpaceDN w:val="0"/>
              <w:adjustRightInd w:val="0"/>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Q3</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5.6%</w:t>
            </w:r>
          </w:p>
        </w:tc>
        <w:tc>
          <w:tcPr>
            <w:tcW w:w="0" w:type="auto"/>
          </w:tcPr>
          <w:p w:rsidR="00712499" w:rsidRPr="00DD27E0" w:rsidRDefault="00712499" w:rsidP="007B0DD7">
            <w:pPr>
              <w:autoSpaceDE w:val="0"/>
              <w:autoSpaceDN w:val="0"/>
              <w:adjustRightInd w:val="0"/>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Q4 (most responsive)</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5.9%</w:t>
            </w:r>
          </w:p>
        </w:tc>
        <w:tc>
          <w:tcPr>
            <w:tcW w:w="0" w:type="auto"/>
          </w:tcPr>
          <w:p w:rsidR="00712499" w:rsidRPr="00DD27E0" w:rsidRDefault="00712499" w:rsidP="007B0DD7">
            <w:pPr>
              <w:autoSpaceDE w:val="0"/>
              <w:autoSpaceDN w:val="0"/>
              <w:adjustRightInd w:val="0"/>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300 or 600 mg LD and 75mg MD Clopidogrel + 100-325 mg/day aspirin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Composite endpoint</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Composite endpoint</w:t>
            </w: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Nonresponders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Composite endpoint</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autoSpaceDE w:val="0"/>
              <w:autoSpaceDN w:val="0"/>
              <w:adjustRightInd w:val="0"/>
              <w:rPr>
                <w:rFonts w:ascii="Arial" w:hAnsi="Arial" w:cs="Arial"/>
                <w:sz w:val="18"/>
                <w:szCs w:val="18"/>
              </w:rPr>
            </w:pPr>
            <w:r w:rsidRPr="00DD27E0">
              <w:rPr>
                <w:rFonts w:ascii="Arial" w:hAnsi="Arial" w:cs="Arial"/>
                <w:sz w:val="18"/>
                <w:szCs w:val="18"/>
              </w:rPr>
              <w:t>HR =2.9</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1.7-3.9</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&lt;0.001 among pts with CK-MB data, (multivariate regression)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YES; Table 4</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autoSpaceDE w:val="0"/>
              <w:autoSpaceDN w:val="0"/>
              <w:adjustRightInd w:val="0"/>
              <w:rPr>
                <w:rFonts w:ascii="Arial" w:hAnsi="Arial" w:cs="Arial"/>
                <w:sz w:val="18"/>
                <w:szCs w:val="18"/>
              </w:rPr>
            </w:pPr>
            <w:r w:rsidRPr="00DD27E0">
              <w:rPr>
                <w:rFonts w:ascii="Arial" w:hAnsi="Arial" w:cs="Arial"/>
                <w:sz w:val="18"/>
                <w:szCs w:val="18"/>
              </w:rPr>
              <w:t>HR= 2.5</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1.6-3.8</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&lt;0.001 among all pts, (multivariate 2.5</w:t>
            </w:r>
            <w:r>
              <w:rPr>
                <w:rFonts w:ascii="Arial" w:hAnsi="Arial" w:cs="Arial"/>
                <w:sz w:val="18"/>
                <w:szCs w:val="18"/>
              </w:rPr>
              <w:t xml:space="preserve"> </w:t>
            </w:r>
            <w:r w:rsidRPr="00DD27E0">
              <w:rPr>
                <w:rFonts w:ascii="Arial" w:hAnsi="Arial" w:cs="Arial"/>
                <w:sz w:val="18"/>
                <w:szCs w:val="18"/>
              </w:rPr>
              <w:t>regression)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YES; Table 5</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Smit,</w:t>
            </w:r>
            <w:r>
              <w:rPr>
                <w:rFonts w:ascii="Arial" w:hAnsi="Arial" w:cs="Arial"/>
                <w:sz w:val="18"/>
                <w:szCs w:val="18"/>
              </w:rPr>
              <w:t xml:space="preserve"> </w:t>
            </w:r>
            <w:r w:rsidRPr="00DD27E0">
              <w:rPr>
                <w:rFonts w:ascii="Arial" w:hAnsi="Arial" w:cs="Arial"/>
                <w:sz w:val="18"/>
                <w:szCs w:val="18"/>
              </w:rPr>
              <w:t>2010</w:t>
            </w:r>
          </w:p>
          <w:p w:rsidR="00712499" w:rsidRPr="00DD27E0" w:rsidRDefault="00712499" w:rsidP="007B0DD7">
            <w:pPr>
              <w:rPr>
                <w:rFonts w:ascii="Arial" w:hAnsi="Arial" w:cs="Arial"/>
                <w:sz w:val="18"/>
                <w:szCs w:val="18"/>
              </w:rPr>
            </w:pPr>
            <w:r w:rsidRPr="00DD27E0">
              <w:rPr>
                <w:rFonts w:ascii="Arial" w:hAnsi="Arial" w:cs="Arial"/>
                <w:sz w:val="18"/>
                <w:szCs w:val="18"/>
              </w:rPr>
              <w:t>20889993</w:t>
            </w:r>
          </w:p>
          <w:p w:rsidR="00712499" w:rsidRPr="00DD27E0" w:rsidRDefault="00712499" w:rsidP="007B0DD7">
            <w:pPr>
              <w:rPr>
                <w:rFonts w:ascii="Arial" w:hAnsi="Arial" w:cs="Arial"/>
                <w:sz w:val="18"/>
                <w:szCs w:val="18"/>
              </w:rPr>
            </w:pPr>
            <w:r w:rsidRPr="00DD27E0">
              <w:rPr>
                <w:rFonts w:ascii="Arial" w:hAnsi="Arial" w:cs="Arial"/>
                <w:sz w:val="18"/>
                <w:szCs w:val="18"/>
              </w:rPr>
              <w:t>Netherlands</w:t>
            </w:r>
          </w:p>
          <w:p w:rsidR="00712499" w:rsidRPr="00DD27E0" w:rsidRDefault="00712499" w:rsidP="007B0DD7">
            <w:pPr>
              <w:rPr>
                <w:rFonts w:ascii="Arial" w:hAnsi="Arial" w:cs="Arial"/>
                <w:sz w:val="18"/>
                <w:szCs w:val="18"/>
              </w:rPr>
            </w:pPr>
            <w:r w:rsidRPr="00DD27E0">
              <w:rPr>
                <w:rFonts w:ascii="Arial" w:hAnsi="Arial" w:cs="Arial"/>
                <w:sz w:val="18"/>
                <w:szCs w:val="18"/>
              </w:rPr>
              <w:t>ON-TIME-2</w:t>
            </w:r>
          </w:p>
        </w:tc>
        <w:tc>
          <w:tcPr>
            <w:tcW w:w="0" w:type="auto"/>
          </w:tcPr>
          <w:p w:rsidR="00712499" w:rsidRPr="00DD27E0" w:rsidRDefault="00712499" w:rsidP="007B0DD7">
            <w:pPr>
              <w:jc w:val="center"/>
              <w:rPr>
                <w:rFonts w:ascii="Arial" w:hAnsi="Arial" w:cs="Arial"/>
                <w:sz w:val="18"/>
                <w:szCs w:val="18"/>
              </w:rPr>
            </w:pPr>
            <w:r w:rsidRPr="00DD27E0">
              <w:rPr>
                <w:rFonts w:ascii="Arial" w:hAnsi="Arial" w:cs="Arial"/>
                <w:sz w:val="18"/>
                <w:szCs w:val="18"/>
              </w:rPr>
              <w:t>Clopidogrel 300 mg LD + 75 mg MD</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PFA-ADP</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mortality, urgent target vessel revascularisation or recurrent myocardial infarction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30 days</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Quartile 1</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0.035; between all quartiles</w:t>
            </w:r>
          </w:p>
          <w:p w:rsidR="00712499" w:rsidRPr="00DD27E0" w:rsidRDefault="00712499" w:rsidP="007B0DD7">
            <w:pPr>
              <w:rPr>
                <w:rFonts w:ascii="Arial" w:hAnsi="Arial" w:cs="Arial"/>
                <w:sz w:val="18"/>
                <w:szCs w:val="18"/>
              </w:rPr>
            </w:pPr>
            <w:r w:rsidRPr="00DD27E0">
              <w:rPr>
                <w:rFonts w:ascii="Arial" w:hAnsi="Arial" w:cs="Arial"/>
                <w:sz w:val="18"/>
                <w:szCs w:val="18"/>
              </w:rPr>
              <w:t>[Chi-square]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NO</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Data in figures only shows percentages; needs to be digitized to obtain accurate values</w:t>
            </w: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jc w:val="cente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 xml:space="preserve">Quartile 2 </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jc w:val="cente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Quartile 3</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jc w:val="cente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Quartile 4</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Malek,</w:t>
            </w:r>
            <w:r>
              <w:rPr>
                <w:rFonts w:ascii="Arial" w:hAnsi="Arial" w:cs="Arial"/>
                <w:sz w:val="18"/>
                <w:szCs w:val="18"/>
              </w:rPr>
              <w:t xml:space="preserve"> </w:t>
            </w:r>
            <w:r w:rsidRPr="00DD27E0">
              <w:rPr>
                <w:rFonts w:ascii="Arial" w:hAnsi="Arial" w:cs="Arial"/>
                <w:sz w:val="18"/>
                <w:szCs w:val="18"/>
              </w:rPr>
              <w:t>2007</w:t>
            </w:r>
          </w:p>
          <w:p w:rsidR="00712499" w:rsidRPr="00DD27E0" w:rsidRDefault="00712499" w:rsidP="007B0DD7">
            <w:pPr>
              <w:rPr>
                <w:rFonts w:ascii="Arial" w:hAnsi="Arial" w:cs="Arial"/>
                <w:sz w:val="18"/>
                <w:szCs w:val="18"/>
              </w:rPr>
            </w:pPr>
            <w:r w:rsidRPr="00DD27E0">
              <w:rPr>
                <w:rFonts w:ascii="Arial" w:hAnsi="Arial" w:cs="Arial"/>
                <w:sz w:val="18"/>
                <w:szCs w:val="18"/>
              </w:rPr>
              <w:t>17295159</w:t>
            </w:r>
          </w:p>
          <w:p w:rsidR="00712499" w:rsidRPr="00DD27E0" w:rsidRDefault="00712499" w:rsidP="007B0DD7">
            <w:pPr>
              <w:rPr>
                <w:rFonts w:ascii="Arial" w:hAnsi="Arial" w:cs="Arial"/>
                <w:sz w:val="18"/>
                <w:szCs w:val="18"/>
              </w:rPr>
            </w:pPr>
            <w:r w:rsidRPr="00DD27E0">
              <w:rPr>
                <w:rFonts w:ascii="Arial" w:hAnsi="Arial" w:cs="Arial"/>
                <w:sz w:val="18"/>
                <w:szCs w:val="18"/>
              </w:rPr>
              <w:t>Poland</w:t>
            </w:r>
          </w:p>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Clopidogrel LD 300 or 600mg and maintaining 75mg daily</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Early cardiovascular events</w:t>
            </w:r>
          </w:p>
        </w:tc>
        <w:tc>
          <w:tcPr>
            <w:tcW w:w="0" w:type="auto"/>
          </w:tcPr>
          <w:p w:rsidR="00712499" w:rsidRPr="00DD27E0" w:rsidRDefault="00712499" w:rsidP="007B0DD7">
            <w:pPr>
              <w:autoSpaceDE w:val="0"/>
              <w:autoSpaceDN w:val="0"/>
              <w:adjustRightInd w:val="0"/>
              <w:rPr>
                <w:rFonts w:ascii="Arial" w:hAnsi="Arial" w:cs="Arial"/>
                <w:sz w:val="18"/>
                <w:szCs w:val="18"/>
              </w:rPr>
            </w:pPr>
            <w:r w:rsidRPr="00DD27E0">
              <w:rPr>
                <w:rFonts w:ascii="Arial" w:hAnsi="Arial" w:cs="Arial"/>
                <w:sz w:val="18"/>
                <w:szCs w:val="18"/>
              </w:rPr>
              <w:t>in-hospital re-infarction, cardiac arrest, recurrent angina with changes in electrocardiogram characteristic for acute ischaemia, stroke, ventricular and supraventricular arrythmias requiring electrical cardioversion or intravenous infusion of antiarrythmic drugs, pulmonary oedema, cardiogenic shock or major bleeding</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Early cardiovascular events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Group 3 vs control</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Early cardiovascular events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RR=9.0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2.4-33.9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&lt;0.005 comparing group 3 vs control</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lastRenderedPageBreak/>
              <w:t>Huczek,</w:t>
            </w:r>
            <w:r>
              <w:rPr>
                <w:rFonts w:ascii="Arial" w:hAnsi="Arial" w:cs="Arial"/>
                <w:sz w:val="18"/>
                <w:szCs w:val="18"/>
              </w:rPr>
              <w:t xml:space="preserve"> </w:t>
            </w:r>
            <w:r w:rsidRPr="00DD27E0">
              <w:rPr>
                <w:rFonts w:ascii="Arial" w:hAnsi="Arial" w:cs="Arial"/>
                <w:sz w:val="18"/>
                <w:szCs w:val="18"/>
              </w:rPr>
              <w:t>2008</w:t>
            </w:r>
          </w:p>
          <w:p w:rsidR="00712499" w:rsidRPr="00DD27E0" w:rsidRDefault="00712499" w:rsidP="007B0DD7">
            <w:pPr>
              <w:rPr>
                <w:rFonts w:ascii="Arial" w:hAnsi="Arial" w:cs="Arial"/>
                <w:sz w:val="18"/>
                <w:szCs w:val="18"/>
              </w:rPr>
            </w:pPr>
            <w:r w:rsidRPr="00DD27E0">
              <w:rPr>
                <w:rFonts w:ascii="Arial" w:hAnsi="Arial" w:cs="Arial"/>
                <w:sz w:val="18"/>
                <w:szCs w:val="18"/>
              </w:rPr>
              <w:t>18301358</w:t>
            </w:r>
          </w:p>
          <w:p w:rsidR="00712499" w:rsidRPr="00DD27E0" w:rsidRDefault="00712499" w:rsidP="007B0DD7">
            <w:pPr>
              <w:rPr>
                <w:rFonts w:ascii="Arial" w:hAnsi="Arial" w:cs="Arial"/>
                <w:sz w:val="18"/>
                <w:szCs w:val="18"/>
              </w:rPr>
            </w:pPr>
            <w:r w:rsidRPr="00DD27E0">
              <w:rPr>
                <w:rFonts w:ascii="Arial" w:hAnsi="Arial" w:cs="Arial"/>
                <w:sz w:val="18"/>
                <w:szCs w:val="18"/>
              </w:rPr>
              <w:t>Poland</w:t>
            </w:r>
          </w:p>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Clopidogrel 75 mg</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Combination of CT-EPI and CT-ADP by 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cardiovascular death, nonfatal reinfarction, stroke, and rehospitalization for congestive heart failure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6 months</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Group I (complete platelet function inhibition)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2</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HR=3.8</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HR=1.6</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2.2</w:t>
            </w:r>
            <w:r w:rsidRPr="00DD27E0">
              <w:rPr>
                <w:rFonts w:ascii="Arial" w:hAnsi="Arial" w:cs="Arial"/>
                <w:sz w:val="18"/>
                <w:szCs w:val="18"/>
              </w:rPr>
              <w:noBreakHyphen/>
              <w:t>6.8</w:t>
            </w:r>
          </w:p>
          <w:p w:rsidR="00712499"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0.9-4.1</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P&lt;0.0001</w:t>
            </w:r>
          </w:p>
          <w:p w:rsidR="00712499" w:rsidRPr="00DD27E0" w:rsidRDefault="00712499" w:rsidP="007B0DD7">
            <w:pPr>
              <w:rPr>
                <w:rFonts w:ascii="Arial" w:hAnsi="Arial" w:cs="Arial"/>
                <w:sz w:val="18"/>
                <w:szCs w:val="18"/>
              </w:rPr>
            </w:pPr>
            <w:r w:rsidRPr="00DD27E0">
              <w:rPr>
                <w:rFonts w:ascii="Arial" w:hAnsi="Arial" w:cs="Arial"/>
                <w:sz w:val="18"/>
                <w:szCs w:val="18"/>
              </w:rPr>
              <w:t>Groups II &amp; III vs I</w:t>
            </w:r>
          </w:p>
          <w:p w:rsidR="00712499" w:rsidRPr="00DD27E0" w:rsidRDefault="00712499" w:rsidP="007B0DD7">
            <w:pPr>
              <w:rPr>
                <w:rFonts w:ascii="Arial" w:hAnsi="Arial" w:cs="Arial"/>
                <w:sz w:val="18"/>
                <w:szCs w:val="18"/>
              </w:rPr>
            </w:pPr>
            <w:r w:rsidRPr="00DD27E0">
              <w:rPr>
                <w:rFonts w:ascii="Arial" w:hAnsi="Arial" w:cs="Arial"/>
                <w:sz w:val="18"/>
                <w:szCs w:val="18"/>
              </w:rPr>
              <w:t>[Cox regression]</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P=0.082</w:t>
            </w:r>
          </w:p>
          <w:p w:rsidR="00712499" w:rsidRPr="00DD27E0" w:rsidRDefault="00712499" w:rsidP="007B0DD7">
            <w:pPr>
              <w:rPr>
                <w:rFonts w:ascii="Arial" w:hAnsi="Arial" w:cs="Arial"/>
                <w:sz w:val="18"/>
                <w:szCs w:val="18"/>
              </w:rPr>
            </w:pPr>
            <w:r w:rsidRPr="00DD27E0">
              <w:rPr>
                <w:rFonts w:ascii="Arial" w:hAnsi="Arial" w:cs="Arial"/>
                <w:sz w:val="18"/>
                <w:szCs w:val="18"/>
              </w:rPr>
              <w:t>(group III vs II)</w:t>
            </w:r>
          </w:p>
          <w:p w:rsidR="00712499" w:rsidRPr="00DD27E0" w:rsidRDefault="00712499" w:rsidP="007B0DD7">
            <w:pPr>
              <w:rPr>
                <w:rFonts w:ascii="Arial" w:hAnsi="Arial" w:cs="Arial"/>
                <w:sz w:val="18"/>
                <w:szCs w:val="18"/>
              </w:rPr>
            </w:pPr>
            <w:r w:rsidRPr="00DD27E0">
              <w:rPr>
                <w:rFonts w:ascii="Arial" w:hAnsi="Arial" w:cs="Arial"/>
                <w:sz w:val="18"/>
                <w:szCs w:val="18"/>
              </w:rPr>
              <w:t>[Cox regression]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YES;</w:t>
            </w:r>
          </w:p>
          <w:p w:rsidR="00712499" w:rsidRPr="00DD27E0" w:rsidRDefault="00712499" w:rsidP="007B0DD7">
            <w:pPr>
              <w:rPr>
                <w:rFonts w:ascii="Arial" w:hAnsi="Arial" w:cs="Arial"/>
                <w:sz w:val="18"/>
                <w:szCs w:val="18"/>
              </w:rPr>
            </w:pPr>
            <w:r w:rsidRPr="00DD27E0">
              <w:rPr>
                <w:rFonts w:ascii="Arial" w:hAnsi="Arial" w:cs="Arial"/>
                <w:sz w:val="18"/>
                <w:szCs w:val="18"/>
              </w:rPr>
              <w:t>age, sex, treatment delay, diabetes, previous MI, chronic aspirin therapy, acute heart failure (Killip &gt;I), anterior STEMI, culprit lesion located in the left anterior descending (LAD) artery, threevessel disease in angiography, abciximab administration, and baseline ejection fraction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
                <w:i/>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Group II (partial platelet function inhibition)</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5</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
                <w:i/>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Group III (no platelet function inhibition).</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20</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lastRenderedPageBreak/>
              <w:t>Moerenhout,</w:t>
            </w:r>
            <w:r>
              <w:rPr>
                <w:rFonts w:ascii="Arial" w:hAnsi="Arial" w:cs="Arial"/>
                <w:sz w:val="18"/>
                <w:szCs w:val="18"/>
              </w:rPr>
              <w:t xml:space="preserve"> </w:t>
            </w:r>
            <w:r w:rsidRPr="00DD27E0">
              <w:rPr>
                <w:rFonts w:ascii="Arial" w:hAnsi="Arial" w:cs="Arial"/>
                <w:sz w:val="18"/>
                <w:szCs w:val="18"/>
              </w:rPr>
              <w:t>2010</w:t>
            </w:r>
          </w:p>
          <w:p w:rsidR="00712499" w:rsidRPr="00DD27E0" w:rsidRDefault="00712499" w:rsidP="007B0DD7">
            <w:pPr>
              <w:rPr>
                <w:rFonts w:ascii="Arial" w:hAnsi="Arial" w:cs="Arial"/>
                <w:sz w:val="18"/>
                <w:szCs w:val="18"/>
              </w:rPr>
            </w:pPr>
            <w:r w:rsidRPr="00DD27E0">
              <w:rPr>
                <w:rFonts w:ascii="Arial" w:hAnsi="Arial" w:cs="Arial"/>
                <w:sz w:val="18"/>
                <w:szCs w:val="18"/>
              </w:rPr>
              <w:t>20211306</w:t>
            </w:r>
          </w:p>
          <w:p w:rsidR="00712499" w:rsidRPr="00DD27E0" w:rsidRDefault="00712499" w:rsidP="007B0DD7">
            <w:pPr>
              <w:rPr>
                <w:rFonts w:ascii="Arial" w:hAnsi="Arial" w:cs="Arial"/>
                <w:sz w:val="18"/>
                <w:szCs w:val="18"/>
              </w:rPr>
            </w:pPr>
            <w:r w:rsidRPr="00DD27E0">
              <w:rPr>
                <w:rFonts w:ascii="Arial" w:hAnsi="Arial" w:cs="Arial"/>
                <w:sz w:val="18"/>
                <w:szCs w:val="18"/>
              </w:rPr>
              <w:t xml:space="preserve">Belgium </w:t>
            </w:r>
          </w:p>
          <w:p w:rsidR="00712499" w:rsidRPr="00DD27E0" w:rsidRDefault="00712499" w:rsidP="007B0DD7">
            <w:pPr>
              <w:rPr>
                <w:rFonts w:ascii="Arial" w:hAnsi="Arial" w:cs="Arial"/>
                <w:sz w:val="18"/>
                <w:szCs w:val="18"/>
              </w:rPr>
            </w:pPr>
            <w:r>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aspirin 160 mg LD + 450 mg LD of clopidogrel +</w:t>
            </w:r>
            <w:r>
              <w:rPr>
                <w:rFonts w:ascii="Arial" w:hAnsi="Arial" w:cs="Arial"/>
                <w:sz w:val="18"/>
                <w:szCs w:val="18"/>
              </w:rPr>
              <w:t xml:space="preserve"> </w:t>
            </w:r>
            <w:r w:rsidRPr="00DD27E0">
              <w:rPr>
                <w:rFonts w:ascii="Arial" w:hAnsi="Arial" w:cs="Arial"/>
                <w:sz w:val="18"/>
                <w:szCs w:val="18"/>
              </w:rPr>
              <w:t>Clopidogrel 75 mg MD x 6 weeks to 6 months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major thrombotic adverse cardiac</w:t>
            </w:r>
            <w:r>
              <w:rPr>
                <w:rFonts w:ascii="Arial" w:hAnsi="Arial" w:cs="Arial"/>
                <w:sz w:val="18"/>
                <w:szCs w:val="18"/>
              </w:rPr>
              <w:t xml:space="preserve"> </w:t>
            </w:r>
            <w:r w:rsidRPr="00DD27E0">
              <w:rPr>
                <w:rFonts w:ascii="Arial" w:hAnsi="Arial" w:cs="Arial"/>
                <w:sz w:val="18"/>
                <w:szCs w:val="18"/>
              </w:rPr>
              <w:t>events (MACE)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death, nonfatal myocardial infarction</w:t>
            </w:r>
          </w:p>
          <w:p w:rsidR="00712499" w:rsidRPr="00DD27E0" w:rsidRDefault="00712499" w:rsidP="007B0DD7">
            <w:pPr>
              <w:rPr>
                <w:rFonts w:ascii="Arial" w:hAnsi="Arial" w:cs="Arial"/>
                <w:sz w:val="18"/>
                <w:szCs w:val="18"/>
              </w:rPr>
            </w:pPr>
            <w:r w:rsidRPr="00DD27E0">
              <w:rPr>
                <w:rFonts w:ascii="Arial" w:hAnsi="Arial" w:cs="Arial"/>
                <w:sz w:val="18"/>
                <w:szCs w:val="18"/>
              </w:rPr>
              <w:t>(MI), and stent thrombosis</w:t>
            </w:r>
            <w:bookmarkStart w:id="0" w:name="_Ref322920726"/>
            <w:r>
              <w:rPr>
                <w:rFonts w:ascii="Arial" w:hAnsi="Arial" w:cs="Arial"/>
                <w:sz w:val="18"/>
                <w:szCs w:val="18"/>
              </w:rPr>
              <w:t>*</w:t>
            </w:r>
            <w:bookmarkEnd w:id="0"/>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6 months</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nonresponder (PFA value &lt;71 seconds)</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2/17 (12%)</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OR=2.6 (calculate)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0.5-12.8</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P=0.2</w:t>
            </w:r>
          </w:p>
          <w:p w:rsidR="00712499" w:rsidRPr="00DD27E0" w:rsidRDefault="00712499" w:rsidP="007B0DD7">
            <w:pPr>
              <w:rPr>
                <w:rFonts w:ascii="Arial" w:hAnsi="Arial" w:cs="Arial"/>
                <w:sz w:val="18"/>
                <w:szCs w:val="18"/>
              </w:rPr>
            </w:pPr>
            <w:r w:rsidRPr="00DD27E0">
              <w:rPr>
                <w:rFonts w:ascii="Arial" w:hAnsi="Arial" w:cs="Arial"/>
                <w:sz w:val="18"/>
                <w:szCs w:val="18"/>
              </w:rPr>
              <w:t>(between nonresponder and responder)</w:t>
            </w:r>
          </w:p>
          <w:p w:rsidR="00712499" w:rsidRPr="00DD27E0" w:rsidRDefault="00712499" w:rsidP="007B0DD7">
            <w:pPr>
              <w:rPr>
                <w:rFonts w:ascii="Arial" w:hAnsi="Arial" w:cs="Arial"/>
                <w:sz w:val="18"/>
                <w:szCs w:val="18"/>
              </w:rPr>
            </w:pPr>
            <w:r w:rsidRPr="00DD27E0">
              <w:rPr>
                <w:rFonts w:ascii="Arial" w:hAnsi="Arial" w:cs="Arial"/>
                <w:sz w:val="18"/>
                <w:szCs w:val="18"/>
              </w:rPr>
              <w:t>Chi Square test</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NO</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responder (PFA value &gt;71 seconds)</w:t>
            </w:r>
          </w:p>
        </w:tc>
        <w:tc>
          <w:tcPr>
            <w:tcW w:w="0" w:type="auto"/>
          </w:tcPr>
          <w:p w:rsidR="00712499" w:rsidRPr="00DD27E0" w:rsidRDefault="00712499" w:rsidP="007B0DD7">
            <w:pPr>
              <w:keepNext/>
              <w:rPr>
                <w:rFonts w:ascii="Arial" w:hAnsi="Arial" w:cs="Arial"/>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11/225 (5%)</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aspirin 160 mg LD + 450 mg LD of clopidogrel +</w:t>
            </w:r>
            <w:r>
              <w:rPr>
                <w:rFonts w:ascii="Arial" w:hAnsi="Arial" w:cs="Arial"/>
                <w:sz w:val="18"/>
                <w:szCs w:val="18"/>
              </w:rPr>
              <w:t xml:space="preserve"> </w:t>
            </w:r>
            <w:r w:rsidRPr="00DD27E0">
              <w:rPr>
                <w:rFonts w:ascii="Arial" w:hAnsi="Arial" w:cs="Arial"/>
                <w:sz w:val="18"/>
                <w:szCs w:val="18"/>
              </w:rPr>
              <w:t>Clopidogrel 75 mg MD x 6 weeks to 6 months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major thrombotic adverse cardiac</w:t>
            </w:r>
            <w:r>
              <w:rPr>
                <w:rFonts w:ascii="Arial" w:hAnsi="Arial" w:cs="Arial"/>
                <w:sz w:val="18"/>
                <w:szCs w:val="18"/>
              </w:rPr>
              <w:t xml:space="preserve"> </w:t>
            </w:r>
            <w:r w:rsidRPr="00DD27E0">
              <w:rPr>
                <w:rFonts w:ascii="Arial" w:hAnsi="Arial" w:cs="Arial"/>
                <w:sz w:val="18"/>
                <w:szCs w:val="18"/>
              </w:rPr>
              <w:t>events (MACE)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death, nonfatal myocardial infarction</w:t>
            </w:r>
            <w:r>
              <w:rPr>
                <w:rFonts w:ascii="Arial" w:hAnsi="Arial" w:cs="Arial"/>
                <w:sz w:val="18"/>
                <w:szCs w:val="18"/>
              </w:rPr>
              <w:t xml:space="preserve"> </w:t>
            </w:r>
            <w:r w:rsidRPr="00DD27E0">
              <w:rPr>
                <w:rFonts w:ascii="Arial" w:hAnsi="Arial" w:cs="Arial"/>
                <w:sz w:val="18"/>
                <w:szCs w:val="18"/>
              </w:rPr>
              <w:t>(MI), and stent thrombosi</w:t>
            </w:r>
            <w:r>
              <w:rPr>
                <w:rFonts w:ascii="Arial" w:hAnsi="Arial" w:cs="Arial"/>
                <w:sz w:val="18"/>
                <w:szCs w:val="18"/>
              </w:rPr>
              <w:t>s</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6 months</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nonresponder (PFA value &lt;71 seconds)</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MACE</w:t>
            </w:r>
          </w:p>
          <w:p w:rsidR="00712499" w:rsidRPr="00DD27E0" w:rsidRDefault="00712499" w:rsidP="007B0DD7">
            <w:pPr>
              <w:rPr>
                <w:rFonts w:ascii="Arial" w:hAnsi="Arial" w:cs="Arial"/>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2/17 (12%)</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OR=13</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0.9-183</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P=0.057</w:t>
            </w:r>
          </w:p>
          <w:p w:rsidR="00712499" w:rsidRPr="00DD27E0" w:rsidRDefault="00712499" w:rsidP="007B0DD7">
            <w:pPr>
              <w:rPr>
                <w:rFonts w:ascii="Arial" w:hAnsi="Arial" w:cs="Arial"/>
                <w:sz w:val="18"/>
                <w:szCs w:val="18"/>
              </w:rPr>
            </w:pPr>
            <w:r w:rsidRPr="00DD27E0">
              <w:rPr>
                <w:rFonts w:ascii="Arial" w:hAnsi="Arial" w:cs="Arial"/>
                <w:sz w:val="18"/>
                <w:szCs w:val="18"/>
              </w:rPr>
              <w:t>(between nonresponder and responder)</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[Logistic regression]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YES;</w:t>
            </w:r>
          </w:p>
          <w:p w:rsidR="00712499" w:rsidRPr="00DD27E0" w:rsidRDefault="00712499" w:rsidP="007B0DD7">
            <w:pPr>
              <w:rPr>
                <w:rFonts w:ascii="Arial" w:hAnsi="Arial" w:cs="Arial"/>
                <w:sz w:val="18"/>
                <w:szCs w:val="18"/>
              </w:rPr>
            </w:pPr>
            <w:r w:rsidRPr="00DD27E0">
              <w:rPr>
                <w:rFonts w:ascii="Arial" w:hAnsi="Arial" w:cs="Arial"/>
                <w:sz w:val="18"/>
                <w:szCs w:val="18"/>
              </w:rPr>
              <w:t>sex, age, height, weight, cholesterol level, arterial hypertension, diabetes status, use of statins, use of angiotensinconverting enzyme inhibitors, multivessel disease, lesion length, total stent length, number of stents, balloon to reference ratio, post-PCI diameter stenosis, contrast dose, maximum balloon inflation pressure, balloon inflation duration, platelet count, procedural ACT, and clopidogrel nonresponsiveness.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responder (PFA value &gt;71 seconds)</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11/225 (5%)</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Breet , 2010</w:t>
            </w:r>
          </w:p>
          <w:p w:rsidR="00712499" w:rsidRPr="00DD27E0" w:rsidRDefault="00712499" w:rsidP="007B0DD7">
            <w:pPr>
              <w:rPr>
                <w:rFonts w:ascii="Arial" w:hAnsi="Arial" w:cs="Arial"/>
                <w:sz w:val="18"/>
                <w:szCs w:val="18"/>
              </w:rPr>
            </w:pPr>
            <w:r w:rsidRPr="00DD27E0">
              <w:rPr>
                <w:rFonts w:ascii="Arial" w:hAnsi="Arial" w:cs="Arial"/>
                <w:sz w:val="18"/>
                <w:szCs w:val="18"/>
              </w:rPr>
              <w:t>20179285</w:t>
            </w:r>
          </w:p>
          <w:p w:rsidR="00712499" w:rsidRPr="00DD27E0" w:rsidRDefault="00712499" w:rsidP="007B0DD7">
            <w:pPr>
              <w:rPr>
                <w:rFonts w:ascii="Arial" w:hAnsi="Arial" w:cs="Arial"/>
                <w:sz w:val="18"/>
                <w:szCs w:val="18"/>
              </w:rPr>
            </w:pPr>
            <w:r w:rsidRPr="00DD27E0">
              <w:rPr>
                <w:rFonts w:ascii="Arial" w:hAnsi="Arial" w:cs="Arial"/>
                <w:sz w:val="18"/>
                <w:szCs w:val="18"/>
              </w:rPr>
              <w:t xml:space="preserve">Netherlands POPULAR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maintaining Clopidogrel 75 mg daily +aspirin 80-100mg daily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Death combined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All-cause death, nonfatal MI, stent thrombosis and stroke</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 xml:space="preserve">1-year </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High OTPR</w:t>
            </w:r>
          </w:p>
          <w:p w:rsidR="00712499" w:rsidRPr="00DD27E0" w:rsidRDefault="00712499" w:rsidP="007B0DD7">
            <w:pPr>
              <w:rPr>
                <w:rFonts w:ascii="Arial" w:hAnsi="Arial" w:cs="Arial"/>
                <w:bCs/>
                <w:sz w:val="18"/>
                <w:szCs w:val="18"/>
              </w:rPr>
            </w:pPr>
            <w:r w:rsidRPr="00DD27E0">
              <w:rPr>
                <w:rFonts w:ascii="Arial" w:hAnsi="Arial" w:cs="Arial"/>
                <w:bCs/>
                <w:sz w:val="18"/>
                <w:szCs w:val="18"/>
              </w:rPr>
              <w:t>≤147 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Death combined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33/262</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 xml:space="preserve"> (12.6)</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AUC: 0.5</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Sens: 0.7</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Spec: 0.384</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0.46-0.55</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0.585-0.795</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0.35-0.42</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No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Death combined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All-cause death, nonfatal MI, stent thrombosis and stroke</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 xml:space="preserve">1-year </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High OTPR</w:t>
            </w:r>
          </w:p>
          <w:p w:rsidR="00712499" w:rsidRPr="00DD27E0" w:rsidRDefault="00712499" w:rsidP="007B0DD7">
            <w:pPr>
              <w:rPr>
                <w:rFonts w:ascii="Arial" w:hAnsi="Arial" w:cs="Arial"/>
                <w:bCs/>
                <w:sz w:val="18"/>
                <w:szCs w:val="18"/>
              </w:rPr>
            </w:pPr>
            <w:r w:rsidRPr="00DD27E0">
              <w:rPr>
                <w:rFonts w:ascii="Arial" w:hAnsi="Arial" w:cs="Arial"/>
                <w:bCs/>
                <w:sz w:val="18"/>
                <w:szCs w:val="18"/>
              </w:rPr>
              <w:t>≤147s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Death combined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49/506</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 xml:space="preserve"> (9.7)</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OR=1.46</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0.85-2.48</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0.17 high OTPR vs. normal</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 xml:space="preserve">logistic regression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No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 xml:space="preserve">Normal </w:t>
            </w:r>
          </w:p>
          <w:p w:rsidR="00712499" w:rsidRPr="00DD27E0" w:rsidRDefault="00712499" w:rsidP="007B0DD7">
            <w:pPr>
              <w:rPr>
                <w:rFonts w:ascii="Arial" w:hAnsi="Arial" w:cs="Arial"/>
                <w:bCs/>
                <w:sz w:val="18"/>
                <w:szCs w:val="18"/>
              </w:rPr>
            </w:pPr>
            <w:r w:rsidRPr="00DD27E0">
              <w:rPr>
                <w:rFonts w:ascii="Arial" w:hAnsi="Arial" w:cs="Arial"/>
                <w:bCs/>
                <w:sz w:val="18"/>
                <w:szCs w:val="18"/>
              </w:rPr>
              <w:t>OTPR</w:t>
            </w:r>
          </w:p>
          <w:p w:rsidR="00712499" w:rsidRPr="00DD27E0" w:rsidRDefault="00712499" w:rsidP="007B0DD7">
            <w:pPr>
              <w:rPr>
                <w:rFonts w:ascii="Arial" w:hAnsi="Arial" w:cs="Arial"/>
                <w:bCs/>
                <w:sz w:val="18"/>
                <w:szCs w:val="18"/>
              </w:rPr>
            </w:pPr>
            <w:r w:rsidRPr="00DD27E0">
              <w:rPr>
                <w:rFonts w:ascii="Arial" w:hAnsi="Arial" w:cs="Arial"/>
                <w:bCs/>
                <w:sz w:val="18"/>
                <w:szCs w:val="18"/>
              </w:rPr>
              <w:t>&gt;147</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21/306</w:t>
            </w:r>
          </w:p>
          <w:p w:rsidR="00712499" w:rsidRPr="00DD27E0" w:rsidRDefault="00712499" w:rsidP="007B0DD7">
            <w:pPr>
              <w:rPr>
                <w:rFonts w:ascii="Arial" w:hAnsi="Arial" w:cs="Arial"/>
                <w:sz w:val="18"/>
                <w:szCs w:val="18"/>
              </w:rPr>
            </w:pPr>
            <w:r w:rsidRPr="00DD27E0">
              <w:rPr>
                <w:rFonts w:ascii="Arial" w:hAnsi="Arial" w:cs="Arial"/>
                <w:sz w:val="18"/>
                <w:szCs w:val="18"/>
              </w:rPr>
              <w:t>(6.9)</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Innovance PFA P2Y</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Death combined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All-cause death, nonfatal MI, stent thrombosis and stroke</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 xml:space="preserve">1-year </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High OTPR</w:t>
            </w:r>
          </w:p>
          <w:p w:rsidR="00712499" w:rsidRPr="00DD27E0" w:rsidRDefault="00712499" w:rsidP="007B0DD7">
            <w:pPr>
              <w:rPr>
                <w:rFonts w:ascii="Arial" w:hAnsi="Arial" w:cs="Arial"/>
                <w:bCs/>
                <w:sz w:val="18"/>
                <w:szCs w:val="18"/>
              </w:rPr>
            </w:pPr>
            <w:r w:rsidRPr="00DD27E0">
              <w:rPr>
                <w:rFonts w:ascii="Arial" w:hAnsi="Arial" w:cs="Arial"/>
                <w:bCs/>
                <w:sz w:val="18"/>
                <w:szCs w:val="18"/>
              </w:rPr>
              <w:t>≤159 secs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Death combined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33/262</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 xml:space="preserve"> (12.6)</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AUC: 0.56</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Sens: 0.391</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Spec: 0.762</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0.5-0.62</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0.264-0.535</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0.724-0.796</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No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Death combined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All-cause death, nonfatal MI, stent thrombosis and stroke</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 xml:space="preserve">1-year </w:t>
            </w: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High OTPR</w:t>
            </w:r>
          </w:p>
          <w:p w:rsidR="00712499" w:rsidRPr="00DD27E0" w:rsidRDefault="00712499" w:rsidP="007B0DD7">
            <w:pPr>
              <w:rPr>
                <w:rFonts w:ascii="Arial" w:hAnsi="Arial" w:cs="Arial"/>
                <w:bCs/>
                <w:sz w:val="18"/>
                <w:szCs w:val="18"/>
              </w:rPr>
            </w:pPr>
            <w:r w:rsidRPr="00DD27E0">
              <w:rPr>
                <w:rFonts w:ascii="Arial" w:hAnsi="Arial" w:cs="Arial"/>
                <w:bCs/>
                <w:sz w:val="18"/>
                <w:szCs w:val="18"/>
              </w:rPr>
              <w:t>≤159 secs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Death combined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18/147</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 xml:space="preserve"> (12.2)</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OR=2.06</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1.1-3.84</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0.02 high OTPR vs. normal</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logistic regression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 xml:space="preserve">No </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 xml:space="preserve">Normal </w:t>
            </w:r>
          </w:p>
          <w:p w:rsidR="00712499" w:rsidRPr="00DD27E0" w:rsidRDefault="00712499" w:rsidP="007B0DD7">
            <w:pPr>
              <w:rPr>
                <w:rFonts w:ascii="Arial" w:hAnsi="Arial" w:cs="Arial"/>
                <w:bCs/>
                <w:sz w:val="18"/>
                <w:szCs w:val="18"/>
              </w:rPr>
            </w:pPr>
            <w:r w:rsidRPr="00DD27E0">
              <w:rPr>
                <w:rFonts w:ascii="Arial" w:hAnsi="Arial" w:cs="Arial"/>
                <w:bCs/>
                <w:sz w:val="18"/>
                <w:szCs w:val="18"/>
              </w:rPr>
              <w:t>OTPR</w:t>
            </w:r>
          </w:p>
          <w:p w:rsidR="00712499" w:rsidRPr="00DD27E0" w:rsidRDefault="00712499" w:rsidP="007B0DD7">
            <w:pPr>
              <w:rPr>
                <w:rFonts w:ascii="Arial" w:hAnsi="Arial" w:cs="Arial"/>
                <w:bCs/>
                <w:sz w:val="18"/>
                <w:szCs w:val="18"/>
              </w:rPr>
            </w:pPr>
            <w:r w:rsidRPr="00DD27E0">
              <w:rPr>
                <w:rFonts w:ascii="Arial" w:hAnsi="Arial" w:cs="Arial"/>
                <w:bCs/>
                <w:sz w:val="18"/>
                <w:szCs w:val="18"/>
              </w:rPr>
              <w:t>&gt;159 secs</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28/441</w:t>
            </w:r>
          </w:p>
          <w:p w:rsidR="00712499" w:rsidRPr="00DD27E0" w:rsidRDefault="00712499" w:rsidP="007B0DD7">
            <w:pPr>
              <w:rPr>
                <w:rFonts w:ascii="Arial" w:hAnsi="Arial" w:cs="Arial"/>
                <w:sz w:val="18"/>
                <w:szCs w:val="18"/>
              </w:rPr>
            </w:pPr>
            <w:r w:rsidRPr="00DD27E0">
              <w:rPr>
                <w:rFonts w:ascii="Arial" w:hAnsi="Arial" w:cs="Arial"/>
                <w:sz w:val="18"/>
                <w:szCs w:val="18"/>
              </w:rPr>
              <w:t>(6.3)</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Gori, 2008</w:t>
            </w:r>
          </w:p>
          <w:p w:rsidR="00712499" w:rsidRPr="00DD27E0" w:rsidRDefault="00712499" w:rsidP="007B0DD7">
            <w:pPr>
              <w:rPr>
                <w:rFonts w:ascii="Arial" w:hAnsi="Arial" w:cs="Arial"/>
                <w:sz w:val="18"/>
                <w:szCs w:val="18"/>
              </w:rPr>
            </w:pPr>
            <w:r w:rsidRPr="00DD27E0">
              <w:rPr>
                <w:rFonts w:ascii="Arial" w:hAnsi="Arial" w:cs="Arial"/>
                <w:sz w:val="18"/>
                <w:szCs w:val="18"/>
              </w:rPr>
              <w:t>19132241</w:t>
            </w:r>
          </w:p>
          <w:p w:rsidR="00712499" w:rsidRPr="00DD27E0" w:rsidRDefault="00712499" w:rsidP="007B0DD7">
            <w:pPr>
              <w:rPr>
                <w:rFonts w:ascii="Arial" w:hAnsi="Arial" w:cs="Arial"/>
                <w:sz w:val="18"/>
                <w:szCs w:val="18"/>
              </w:rPr>
            </w:pPr>
            <w:r w:rsidRPr="00DD27E0">
              <w:rPr>
                <w:rFonts w:ascii="Arial" w:hAnsi="Arial" w:cs="Arial"/>
                <w:sz w:val="18"/>
                <w:szCs w:val="18"/>
              </w:rPr>
              <w:t>Italy RECLOSE</w:t>
            </w:r>
          </w:p>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600mg LD and 75mg/day MD Clopidogrel</w:t>
            </w:r>
            <w:r>
              <w:rPr>
                <w:rFonts w:ascii="Arial" w:hAnsi="Arial" w:cs="Arial"/>
                <w:sz w:val="18"/>
                <w:szCs w:val="18"/>
              </w:rPr>
              <w:t xml:space="preserve"> </w:t>
            </w:r>
            <w:r w:rsidRPr="00DD27E0">
              <w:rPr>
                <w:rFonts w:ascii="Arial" w:hAnsi="Arial" w:cs="Arial"/>
                <w:sz w:val="18"/>
                <w:szCs w:val="18"/>
              </w:rPr>
              <w:t>+</w:t>
            </w:r>
            <w:r>
              <w:rPr>
                <w:rFonts w:ascii="Arial" w:hAnsi="Arial" w:cs="Arial"/>
                <w:sz w:val="18"/>
                <w:szCs w:val="18"/>
              </w:rPr>
              <w:t xml:space="preserve"> </w:t>
            </w:r>
            <w:r w:rsidRPr="00DD27E0">
              <w:rPr>
                <w:rFonts w:ascii="Arial" w:hAnsi="Arial" w:cs="Arial"/>
                <w:sz w:val="18"/>
                <w:szCs w:val="18"/>
              </w:rPr>
              <w:t>325 mg aspirin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CEPI 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Stent thrombosis or cardiac death (composite)</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residual platelet reactivity RPR (n=133)</w:t>
            </w:r>
          </w:p>
        </w:tc>
        <w:tc>
          <w:tcPr>
            <w:tcW w:w="0" w:type="auto"/>
          </w:tcPr>
          <w:p w:rsidR="00712499" w:rsidRPr="00DD27E0" w:rsidRDefault="00712499" w:rsidP="007B0DD7">
            <w:pPr>
              <w:keepNext/>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NS RPR vs. no RPR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No RPR (n=613)</w:t>
            </w:r>
          </w:p>
        </w:tc>
        <w:tc>
          <w:tcPr>
            <w:tcW w:w="0" w:type="auto"/>
          </w:tcPr>
          <w:p w:rsidR="00712499" w:rsidRPr="00DD27E0" w:rsidRDefault="00712499" w:rsidP="007B0DD7">
            <w:pPr>
              <w:keepNext/>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15</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lastRenderedPageBreak/>
              <w:t>Gori, 2008</w:t>
            </w:r>
          </w:p>
          <w:p w:rsidR="00712499" w:rsidRPr="00DD27E0" w:rsidRDefault="00712499" w:rsidP="007B0DD7">
            <w:pPr>
              <w:rPr>
                <w:rFonts w:ascii="Arial" w:hAnsi="Arial" w:cs="Arial"/>
                <w:sz w:val="18"/>
                <w:szCs w:val="18"/>
              </w:rPr>
            </w:pPr>
            <w:r w:rsidRPr="00DD27E0">
              <w:rPr>
                <w:rFonts w:ascii="Arial" w:hAnsi="Arial" w:cs="Arial"/>
                <w:sz w:val="18"/>
                <w:szCs w:val="18"/>
              </w:rPr>
              <w:t>19132241</w:t>
            </w:r>
          </w:p>
          <w:p w:rsidR="00712499" w:rsidRPr="00DD27E0" w:rsidRDefault="00712499" w:rsidP="007B0DD7">
            <w:pPr>
              <w:rPr>
                <w:rFonts w:ascii="Arial" w:hAnsi="Arial" w:cs="Arial"/>
                <w:sz w:val="18"/>
                <w:szCs w:val="18"/>
              </w:rPr>
            </w:pPr>
            <w:r w:rsidRPr="00DD27E0">
              <w:rPr>
                <w:rFonts w:ascii="Arial" w:hAnsi="Arial" w:cs="Arial"/>
                <w:sz w:val="18"/>
                <w:szCs w:val="18"/>
              </w:rPr>
              <w:t>Italy RECLOSE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600mg LD and 75mg/day MD Clopidogrel</w:t>
            </w:r>
            <w:r>
              <w:rPr>
                <w:rFonts w:ascii="Arial" w:hAnsi="Arial" w:cs="Arial"/>
                <w:sz w:val="18"/>
                <w:szCs w:val="18"/>
              </w:rPr>
              <w:t xml:space="preserve"> </w:t>
            </w:r>
            <w:r w:rsidRPr="00DD27E0">
              <w:rPr>
                <w:rFonts w:ascii="Arial" w:hAnsi="Arial" w:cs="Arial"/>
                <w:sz w:val="18"/>
                <w:szCs w:val="18"/>
              </w:rPr>
              <w:t>+</w:t>
            </w:r>
            <w:r>
              <w:rPr>
                <w:rFonts w:ascii="Arial" w:hAnsi="Arial" w:cs="Arial"/>
                <w:sz w:val="18"/>
                <w:szCs w:val="18"/>
              </w:rPr>
              <w:t xml:space="preserve"> </w:t>
            </w:r>
            <w:r w:rsidRPr="00DD27E0">
              <w:rPr>
                <w:rFonts w:ascii="Arial" w:hAnsi="Arial" w:cs="Arial"/>
                <w:sz w:val="18"/>
                <w:szCs w:val="18"/>
              </w:rPr>
              <w:t>325 mg aspirin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CEPI 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Stent thrombosis or cardiac death (composite)</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residual platelet reactivity RPR (n=133)</w:t>
            </w:r>
          </w:p>
        </w:tc>
        <w:tc>
          <w:tcPr>
            <w:tcW w:w="0" w:type="auto"/>
          </w:tcPr>
          <w:p w:rsidR="00712499" w:rsidRPr="00DD27E0" w:rsidRDefault="00712499" w:rsidP="007B0DD7">
            <w:pPr>
              <w:keepNext/>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pStyle w:val="ListParagraph"/>
              <w:tabs>
                <w:tab w:val="clear" w:pos="360"/>
              </w:tabs>
              <w:ind w:left="0"/>
              <w:rPr>
                <w:rFonts w:ascii="Arial" w:hAnsi="Arial" w:cs="Arial"/>
                <w:bCs/>
                <w:sz w:val="18"/>
                <w:szCs w:val="18"/>
              </w:rPr>
            </w:pPr>
            <w:r w:rsidRPr="00DD27E0">
              <w:rPr>
                <w:rFonts w:ascii="Arial" w:hAnsi="Arial" w:cs="Arial"/>
                <w:sz w:val="18"/>
                <w:szCs w:val="18"/>
              </w:rPr>
              <w:t>40% (21-61%) sensitivity</w:t>
            </w:r>
          </w:p>
          <w:p w:rsidR="00712499" w:rsidRPr="00DD27E0" w:rsidRDefault="00712499" w:rsidP="007B0DD7">
            <w:pPr>
              <w:pStyle w:val="ListParagraph"/>
              <w:tabs>
                <w:tab w:val="clear" w:pos="360"/>
              </w:tabs>
              <w:ind w:left="0"/>
              <w:rPr>
                <w:rFonts w:ascii="Arial" w:hAnsi="Arial" w:cs="Arial"/>
                <w:bCs/>
                <w:sz w:val="18"/>
                <w:szCs w:val="18"/>
              </w:rPr>
            </w:pPr>
            <w:r w:rsidRPr="00DD27E0">
              <w:rPr>
                <w:rFonts w:ascii="Arial" w:hAnsi="Arial" w:cs="Arial"/>
                <w:sz w:val="18"/>
                <w:szCs w:val="18"/>
              </w:rPr>
              <w:t>83% (80-86%) specificity</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For specificity, &lt;0.01 vs. LTA-ADP and &lt;0.0001 vs. LTA-collagen</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Gori, 2008</w:t>
            </w:r>
          </w:p>
          <w:p w:rsidR="00712499" w:rsidRPr="00DD27E0" w:rsidRDefault="00712499" w:rsidP="007B0DD7">
            <w:pPr>
              <w:rPr>
                <w:rFonts w:ascii="Arial" w:hAnsi="Arial" w:cs="Arial"/>
                <w:sz w:val="18"/>
                <w:szCs w:val="18"/>
              </w:rPr>
            </w:pPr>
            <w:r w:rsidRPr="00DD27E0">
              <w:rPr>
                <w:rFonts w:ascii="Arial" w:hAnsi="Arial" w:cs="Arial"/>
                <w:sz w:val="18"/>
                <w:szCs w:val="18"/>
              </w:rPr>
              <w:t>19132241</w:t>
            </w:r>
          </w:p>
          <w:p w:rsidR="00712499" w:rsidRPr="00DD27E0" w:rsidRDefault="00712499" w:rsidP="007B0DD7">
            <w:pPr>
              <w:rPr>
                <w:rFonts w:ascii="Arial" w:hAnsi="Arial" w:cs="Arial"/>
                <w:sz w:val="18"/>
                <w:szCs w:val="18"/>
              </w:rPr>
            </w:pPr>
            <w:r w:rsidRPr="00DD27E0">
              <w:rPr>
                <w:rFonts w:ascii="Arial" w:hAnsi="Arial" w:cs="Arial"/>
                <w:sz w:val="18"/>
                <w:szCs w:val="18"/>
              </w:rPr>
              <w:t>Italy RECLOSE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600mg LD and 75</w:t>
            </w:r>
            <w:r>
              <w:rPr>
                <w:rFonts w:ascii="Arial" w:hAnsi="Arial" w:cs="Arial"/>
                <w:sz w:val="18"/>
                <w:szCs w:val="18"/>
              </w:rPr>
              <w:t xml:space="preserve"> </w:t>
            </w:r>
            <w:r w:rsidRPr="00DD27E0">
              <w:rPr>
                <w:rFonts w:ascii="Arial" w:hAnsi="Arial" w:cs="Arial"/>
                <w:sz w:val="18"/>
                <w:szCs w:val="18"/>
              </w:rPr>
              <w:t>mg/day MD Clopidogrel</w:t>
            </w:r>
            <w:r>
              <w:rPr>
                <w:rFonts w:ascii="Arial" w:hAnsi="Arial" w:cs="Arial"/>
                <w:sz w:val="18"/>
                <w:szCs w:val="18"/>
              </w:rPr>
              <w:t xml:space="preserve"> </w:t>
            </w:r>
            <w:r w:rsidRPr="00DD27E0">
              <w:rPr>
                <w:rFonts w:ascii="Arial" w:hAnsi="Arial" w:cs="Arial"/>
                <w:sz w:val="18"/>
                <w:szCs w:val="18"/>
              </w:rPr>
              <w:t>+</w:t>
            </w:r>
            <w:r>
              <w:rPr>
                <w:rFonts w:ascii="Arial" w:hAnsi="Arial" w:cs="Arial"/>
                <w:sz w:val="18"/>
                <w:szCs w:val="18"/>
              </w:rPr>
              <w:t xml:space="preserve"> </w:t>
            </w:r>
            <w:r w:rsidRPr="00DD27E0">
              <w:rPr>
                <w:rFonts w:ascii="Arial" w:hAnsi="Arial" w:cs="Arial"/>
                <w:sz w:val="18"/>
                <w:szCs w:val="18"/>
              </w:rPr>
              <w:t>325 mg aspirin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CEPI PFA-100 among patients at high risk for AEs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Stent thrombosis or cardiac death (composite)</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residual platelet reactivity RPR (n=238)</w:t>
            </w:r>
          </w:p>
        </w:tc>
        <w:tc>
          <w:tcPr>
            <w:tcW w:w="0" w:type="auto"/>
          </w:tcPr>
          <w:p w:rsidR="00712499" w:rsidRPr="00DD27E0" w:rsidRDefault="00712499" w:rsidP="007B0DD7">
            <w:pPr>
              <w:keepNext/>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NA</w:t>
            </w:r>
          </w:p>
        </w:tc>
        <w:tc>
          <w:tcPr>
            <w:tcW w:w="0" w:type="auto"/>
          </w:tcPr>
          <w:p w:rsidR="00712499" w:rsidRPr="00DD27E0" w:rsidRDefault="00712499" w:rsidP="007B0DD7">
            <w:pPr>
              <w:pStyle w:val="ListParagraph"/>
              <w:tabs>
                <w:tab w:val="clear" w:pos="360"/>
              </w:tabs>
              <w:ind w:left="0"/>
              <w:rPr>
                <w:rFonts w:ascii="Arial" w:hAnsi="Arial" w:cs="Arial"/>
                <w:bCs/>
                <w:sz w:val="18"/>
                <w:szCs w:val="18"/>
              </w:rPr>
            </w:pPr>
            <w:r w:rsidRPr="00DD27E0">
              <w:rPr>
                <w:rFonts w:ascii="Arial" w:hAnsi="Arial" w:cs="Arial"/>
                <w:sz w:val="18"/>
                <w:szCs w:val="18"/>
              </w:rPr>
              <w:t>36% (17-55%) sensitivity</w:t>
            </w:r>
          </w:p>
          <w:p w:rsidR="00712499" w:rsidRPr="00DD27E0" w:rsidRDefault="00712499" w:rsidP="007B0DD7">
            <w:pPr>
              <w:pStyle w:val="ListParagraph"/>
              <w:tabs>
                <w:tab w:val="clear" w:pos="360"/>
              </w:tabs>
              <w:ind w:left="0"/>
              <w:rPr>
                <w:rFonts w:ascii="Arial" w:hAnsi="Arial" w:cs="Arial"/>
                <w:bCs/>
                <w:sz w:val="18"/>
                <w:szCs w:val="18"/>
              </w:rPr>
            </w:pPr>
            <w:r w:rsidRPr="00DD27E0">
              <w:rPr>
                <w:rFonts w:ascii="Arial" w:hAnsi="Arial" w:cs="Arial"/>
                <w:sz w:val="18"/>
                <w:szCs w:val="18"/>
              </w:rPr>
              <w:t>83% (80-86%) specificity</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For sensitivity, p&lt;0.01 vs. LTA-ADP</w:t>
            </w:r>
          </w:p>
          <w:p w:rsidR="00712499" w:rsidRPr="00DD27E0" w:rsidRDefault="00712499" w:rsidP="007B0DD7">
            <w:pPr>
              <w:rPr>
                <w:rFonts w:ascii="Arial" w:hAnsi="Arial" w:cs="Arial"/>
                <w:sz w:val="18"/>
                <w:szCs w:val="18"/>
              </w:rPr>
            </w:pPr>
          </w:p>
          <w:p w:rsidR="00712499" w:rsidRPr="00DD27E0" w:rsidRDefault="00712499" w:rsidP="007B0DD7">
            <w:pPr>
              <w:rPr>
                <w:rFonts w:ascii="Arial" w:hAnsi="Arial" w:cs="Arial"/>
                <w:sz w:val="18"/>
                <w:szCs w:val="18"/>
              </w:rPr>
            </w:pPr>
            <w:r w:rsidRPr="00DD27E0">
              <w:rPr>
                <w:rFonts w:ascii="Arial" w:hAnsi="Arial" w:cs="Arial"/>
                <w:sz w:val="18"/>
                <w:szCs w:val="18"/>
              </w:rPr>
              <w:t>For specificity, p&lt;0.0001 vs. LTA-ADP and p&lt;0.0001 vs. LTA-collagen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Gori, 2008</w:t>
            </w:r>
          </w:p>
          <w:p w:rsidR="00712499" w:rsidRPr="00DD27E0" w:rsidRDefault="00712499" w:rsidP="007B0DD7">
            <w:pPr>
              <w:rPr>
                <w:rFonts w:ascii="Arial" w:hAnsi="Arial" w:cs="Arial"/>
                <w:sz w:val="18"/>
                <w:szCs w:val="18"/>
              </w:rPr>
            </w:pPr>
            <w:r w:rsidRPr="00DD27E0">
              <w:rPr>
                <w:rFonts w:ascii="Arial" w:hAnsi="Arial" w:cs="Arial"/>
                <w:sz w:val="18"/>
                <w:szCs w:val="18"/>
              </w:rPr>
              <w:t>19132241</w:t>
            </w:r>
          </w:p>
          <w:p w:rsidR="00712499" w:rsidRPr="00DD27E0" w:rsidRDefault="00712499" w:rsidP="007B0DD7">
            <w:pPr>
              <w:rPr>
                <w:rFonts w:ascii="Arial" w:hAnsi="Arial" w:cs="Arial"/>
                <w:sz w:val="18"/>
                <w:szCs w:val="18"/>
              </w:rPr>
            </w:pPr>
            <w:r w:rsidRPr="00DD27E0">
              <w:rPr>
                <w:rFonts w:ascii="Arial" w:hAnsi="Arial" w:cs="Arial"/>
                <w:sz w:val="18"/>
                <w:szCs w:val="18"/>
              </w:rPr>
              <w:t>Italy RECLOSE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600mg LD and 75mg/day MD Clopidogrel</w:t>
            </w:r>
            <w:r>
              <w:rPr>
                <w:rFonts w:ascii="Arial" w:hAnsi="Arial" w:cs="Arial"/>
                <w:sz w:val="18"/>
                <w:szCs w:val="18"/>
              </w:rPr>
              <w:t xml:space="preserve"> </w:t>
            </w:r>
            <w:r w:rsidRPr="00DD27E0">
              <w:rPr>
                <w:rFonts w:ascii="Arial" w:hAnsi="Arial" w:cs="Arial"/>
                <w:sz w:val="18"/>
                <w:szCs w:val="18"/>
              </w:rPr>
              <w:t>+</w:t>
            </w:r>
            <w:r>
              <w:rPr>
                <w:rFonts w:ascii="Arial" w:hAnsi="Arial" w:cs="Arial"/>
                <w:sz w:val="18"/>
                <w:szCs w:val="18"/>
              </w:rPr>
              <w:t xml:space="preserve"> </w:t>
            </w:r>
            <w:r w:rsidRPr="00DD27E0">
              <w:rPr>
                <w:rFonts w:ascii="Arial" w:hAnsi="Arial" w:cs="Arial"/>
                <w:sz w:val="18"/>
                <w:szCs w:val="18"/>
              </w:rPr>
              <w:t>325 mg aspirin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CADP PFA-100 among patients at high risk for AEs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Stent thrombosis or cardiac death (composite)</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residual platelet reactivity RPR (n=196)</w:t>
            </w:r>
          </w:p>
        </w:tc>
        <w:tc>
          <w:tcPr>
            <w:tcW w:w="0" w:type="auto"/>
          </w:tcPr>
          <w:p w:rsidR="00712499" w:rsidRPr="00DD27E0" w:rsidRDefault="00712499" w:rsidP="007B0DD7">
            <w:pPr>
              <w:keepNext/>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NA</w:t>
            </w:r>
          </w:p>
        </w:tc>
        <w:tc>
          <w:tcPr>
            <w:tcW w:w="0" w:type="auto"/>
          </w:tcPr>
          <w:p w:rsidR="00712499" w:rsidRPr="00DD27E0" w:rsidRDefault="00712499" w:rsidP="007B0DD7">
            <w:pPr>
              <w:pStyle w:val="ListParagraph"/>
              <w:tabs>
                <w:tab w:val="clear" w:pos="360"/>
              </w:tabs>
              <w:ind w:left="0"/>
              <w:rPr>
                <w:rFonts w:ascii="Arial" w:hAnsi="Arial" w:cs="Arial"/>
                <w:bCs/>
                <w:sz w:val="18"/>
                <w:szCs w:val="18"/>
              </w:rPr>
            </w:pPr>
            <w:r w:rsidRPr="00DD27E0">
              <w:rPr>
                <w:rFonts w:ascii="Arial" w:hAnsi="Arial" w:cs="Arial"/>
                <w:sz w:val="18"/>
                <w:szCs w:val="18"/>
              </w:rPr>
              <w:t>80% (55-100%) sensitivity</w:t>
            </w:r>
          </w:p>
          <w:p w:rsidR="00712499" w:rsidRPr="00DD27E0" w:rsidRDefault="00712499" w:rsidP="007B0DD7">
            <w:pPr>
              <w:pStyle w:val="ListParagraph"/>
              <w:tabs>
                <w:tab w:val="clear" w:pos="360"/>
              </w:tabs>
              <w:ind w:left="0"/>
              <w:rPr>
                <w:rFonts w:ascii="Arial" w:hAnsi="Arial" w:cs="Arial"/>
                <w:bCs/>
                <w:sz w:val="18"/>
                <w:szCs w:val="18"/>
              </w:rPr>
            </w:pPr>
            <w:r w:rsidRPr="00DD27E0">
              <w:rPr>
                <w:rFonts w:ascii="Arial" w:hAnsi="Arial" w:cs="Arial"/>
                <w:sz w:val="18"/>
                <w:szCs w:val="18"/>
              </w:rPr>
              <w:t>52% (46</w:t>
            </w:r>
            <w:r w:rsidRPr="00DD27E0">
              <w:rPr>
                <w:rFonts w:ascii="Arial" w:hAnsi="Arial" w:cs="Arial"/>
                <w:sz w:val="18"/>
                <w:szCs w:val="18"/>
                <w:vertAlign w:val="superscript"/>
              </w:rPr>
              <w:t>a</w:t>
            </w:r>
            <w:r w:rsidRPr="00DD27E0">
              <w:rPr>
                <w:rFonts w:ascii="Arial" w:hAnsi="Arial" w:cs="Arial"/>
                <w:sz w:val="18"/>
                <w:szCs w:val="18"/>
              </w:rPr>
              <w:t xml:space="preserve"> -57%) specificity</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For specificity, p&lt;0.001 vs CEPI–PFA-100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lastRenderedPageBreak/>
              <w:t>Gori, 2008</w:t>
            </w:r>
          </w:p>
          <w:p w:rsidR="00712499" w:rsidRPr="00DD27E0" w:rsidRDefault="00712499" w:rsidP="007B0DD7">
            <w:pPr>
              <w:rPr>
                <w:rFonts w:ascii="Arial" w:hAnsi="Arial" w:cs="Arial"/>
                <w:sz w:val="18"/>
                <w:szCs w:val="18"/>
              </w:rPr>
            </w:pPr>
            <w:r w:rsidRPr="00DD27E0">
              <w:rPr>
                <w:rFonts w:ascii="Arial" w:hAnsi="Arial" w:cs="Arial"/>
                <w:sz w:val="18"/>
                <w:szCs w:val="18"/>
              </w:rPr>
              <w:t>19132241</w:t>
            </w:r>
          </w:p>
          <w:p w:rsidR="00712499" w:rsidRPr="00DD27E0" w:rsidRDefault="00712499" w:rsidP="007B0DD7">
            <w:pPr>
              <w:rPr>
                <w:rFonts w:ascii="Arial" w:hAnsi="Arial" w:cs="Arial"/>
                <w:sz w:val="18"/>
                <w:szCs w:val="18"/>
              </w:rPr>
            </w:pPr>
            <w:r w:rsidRPr="00DD27E0">
              <w:rPr>
                <w:rFonts w:ascii="Arial" w:hAnsi="Arial" w:cs="Arial"/>
                <w:sz w:val="18"/>
                <w:szCs w:val="18"/>
              </w:rPr>
              <w:t>Italy RECLOSE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600mg LD and 75mg/day MD Clopidogrel</w:t>
            </w:r>
            <w:r>
              <w:rPr>
                <w:rFonts w:ascii="Arial" w:hAnsi="Arial" w:cs="Arial"/>
                <w:sz w:val="18"/>
                <w:szCs w:val="18"/>
              </w:rPr>
              <w:t xml:space="preserve"> </w:t>
            </w:r>
            <w:r w:rsidRPr="00DD27E0">
              <w:rPr>
                <w:rFonts w:ascii="Arial" w:hAnsi="Arial" w:cs="Arial"/>
                <w:sz w:val="18"/>
                <w:szCs w:val="18"/>
              </w:rPr>
              <w:t>+</w:t>
            </w:r>
            <w:r>
              <w:rPr>
                <w:rFonts w:ascii="Arial" w:hAnsi="Arial" w:cs="Arial"/>
                <w:sz w:val="18"/>
                <w:szCs w:val="18"/>
              </w:rPr>
              <w:t xml:space="preserve"> </w:t>
            </w:r>
            <w:r w:rsidRPr="00DD27E0">
              <w:rPr>
                <w:rFonts w:ascii="Arial" w:hAnsi="Arial" w:cs="Arial"/>
                <w:sz w:val="18"/>
                <w:szCs w:val="18"/>
              </w:rPr>
              <w:t>325 mg aspirin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CEPI 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Stent thrombosis or cardiac death (composite)</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residual platelet reactivity RPR</w:t>
            </w:r>
          </w:p>
        </w:tc>
        <w:tc>
          <w:tcPr>
            <w:tcW w:w="0" w:type="auto"/>
          </w:tcPr>
          <w:p w:rsidR="00712499" w:rsidRPr="00DD27E0" w:rsidRDefault="00712499" w:rsidP="007B0DD7">
            <w:pPr>
              <w:keepNext/>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OR 3.24</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1.42-7.38</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0.003 logistic regression Univariate analysis</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Gori, 2008</w:t>
            </w:r>
          </w:p>
          <w:p w:rsidR="00712499" w:rsidRPr="00DD27E0" w:rsidRDefault="00712499" w:rsidP="007B0DD7">
            <w:pPr>
              <w:rPr>
                <w:rFonts w:ascii="Arial" w:hAnsi="Arial" w:cs="Arial"/>
                <w:sz w:val="18"/>
                <w:szCs w:val="18"/>
              </w:rPr>
            </w:pPr>
            <w:r w:rsidRPr="00DD27E0">
              <w:rPr>
                <w:rFonts w:ascii="Arial" w:hAnsi="Arial" w:cs="Arial"/>
                <w:sz w:val="18"/>
                <w:szCs w:val="18"/>
              </w:rPr>
              <w:t>19132241</w:t>
            </w:r>
          </w:p>
          <w:p w:rsidR="00712499" w:rsidRPr="00DD27E0" w:rsidRDefault="00712499" w:rsidP="007B0DD7">
            <w:pPr>
              <w:rPr>
                <w:rFonts w:ascii="Arial" w:hAnsi="Arial" w:cs="Arial"/>
                <w:sz w:val="18"/>
                <w:szCs w:val="18"/>
              </w:rPr>
            </w:pPr>
            <w:r w:rsidRPr="00DD27E0">
              <w:rPr>
                <w:rFonts w:ascii="Arial" w:hAnsi="Arial" w:cs="Arial"/>
                <w:sz w:val="18"/>
                <w:szCs w:val="18"/>
              </w:rPr>
              <w:t>Italy RECLOSE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600mg LD and 75mg/day MD Clopidogrel</w:t>
            </w:r>
            <w:r>
              <w:rPr>
                <w:rFonts w:ascii="Arial" w:hAnsi="Arial" w:cs="Arial"/>
                <w:sz w:val="18"/>
                <w:szCs w:val="18"/>
              </w:rPr>
              <w:t xml:space="preserve"> </w:t>
            </w:r>
            <w:r w:rsidRPr="00DD27E0">
              <w:rPr>
                <w:rFonts w:ascii="Arial" w:hAnsi="Arial" w:cs="Arial"/>
                <w:sz w:val="18"/>
                <w:szCs w:val="18"/>
              </w:rPr>
              <w:t>+</w:t>
            </w:r>
            <w:r>
              <w:rPr>
                <w:rFonts w:ascii="Arial" w:hAnsi="Arial" w:cs="Arial"/>
                <w:sz w:val="18"/>
                <w:szCs w:val="18"/>
              </w:rPr>
              <w:t xml:space="preserve"> </w:t>
            </w:r>
            <w:r w:rsidRPr="00DD27E0">
              <w:rPr>
                <w:rFonts w:ascii="Arial" w:hAnsi="Arial" w:cs="Arial"/>
                <w:sz w:val="18"/>
                <w:szCs w:val="18"/>
              </w:rPr>
              <w:t>325 mg aspirin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CEPI PFA-100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Stent thrombosis or cardiac death (composite)</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residual platelet reactivity RPR</w:t>
            </w:r>
          </w:p>
        </w:tc>
        <w:tc>
          <w:tcPr>
            <w:tcW w:w="0" w:type="auto"/>
          </w:tcPr>
          <w:p w:rsidR="00712499" w:rsidRPr="00DD27E0" w:rsidRDefault="00712499" w:rsidP="007B0DD7">
            <w:pPr>
              <w:keepNext/>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OR 2.60</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1.08-6.21</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0.031 logistic regression Multivariate analysis</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Chiu 2011</w:t>
            </w:r>
          </w:p>
          <w:p w:rsidR="00712499" w:rsidRPr="00DD27E0" w:rsidRDefault="00712499" w:rsidP="007B0DD7">
            <w:pPr>
              <w:rPr>
                <w:rFonts w:ascii="Arial" w:hAnsi="Arial" w:cs="Arial"/>
                <w:sz w:val="18"/>
                <w:szCs w:val="18"/>
              </w:rPr>
            </w:pPr>
            <w:r w:rsidRPr="00DD27E0">
              <w:rPr>
                <w:rFonts w:ascii="Arial" w:hAnsi="Arial" w:cs="Arial"/>
                <w:sz w:val="18"/>
                <w:szCs w:val="18"/>
              </w:rPr>
              <w:t>21925055</w:t>
            </w:r>
          </w:p>
          <w:p w:rsidR="00712499" w:rsidRPr="00DD27E0" w:rsidRDefault="00712499" w:rsidP="007B0DD7">
            <w:pPr>
              <w:rPr>
                <w:rFonts w:ascii="Arial" w:hAnsi="Arial" w:cs="Arial"/>
                <w:sz w:val="18"/>
                <w:szCs w:val="18"/>
              </w:rPr>
            </w:pPr>
            <w:r w:rsidRPr="00DD27E0">
              <w:rPr>
                <w:rFonts w:ascii="Arial" w:hAnsi="Arial" w:cs="Arial"/>
                <w:sz w:val="18"/>
                <w:szCs w:val="18"/>
              </w:rPr>
              <w:t>Taiwan</w:t>
            </w:r>
          </w:p>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Clopidogrel (300 mg LD + 75 mg/d MD); Aspirin 100 mg/day or 300 mg LD + 100 mg/day</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CADP PFA-100</w:t>
            </w:r>
          </w:p>
        </w:tc>
        <w:tc>
          <w:tcPr>
            <w:tcW w:w="0" w:type="auto"/>
          </w:tcPr>
          <w:p w:rsidR="00712499" w:rsidRPr="00DD27E0" w:rsidRDefault="00712499" w:rsidP="007B0DD7">
            <w:pPr>
              <w:rPr>
                <w:rFonts w:ascii="Arial" w:hAnsi="Arial" w:cs="Arial"/>
                <w:sz w:val="18"/>
                <w:szCs w:val="18"/>
              </w:rPr>
            </w:pPr>
            <w:r>
              <w:rPr>
                <w:rFonts w:ascii="Arial" w:hAnsi="Arial" w:cs="Arial"/>
                <w:sz w:val="18"/>
                <w:szCs w:val="18"/>
              </w:rPr>
              <w:t xml:space="preserve">CV death, </w:t>
            </w:r>
            <w:r w:rsidRPr="00DD27E0">
              <w:rPr>
                <w:rFonts w:ascii="Arial" w:hAnsi="Arial" w:cs="Arial"/>
                <w:sz w:val="18"/>
                <w:szCs w:val="18"/>
              </w:rPr>
              <w:t>non-fatal MI, or non-fatal stroke</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24 months</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CADP-CT&lt;95s</w:t>
            </w:r>
          </w:p>
          <w:p w:rsidR="00712499" w:rsidRPr="00DD27E0" w:rsidRDefault="00712499" w:rsidP="007B0DD7">
            <w:pPr>
              <w:keepNext/>
              <w:rPr>
                <w:rFonts w:ascii="Arial" w:hAnsi="Arial" w:cs="Arial"/>
                <w:sz w:val="18"/>
                <w:szCs w:val="18"/>
              </w:rPr>
            </w:pPr>
            <w:r w:rsidRPr="00DD27E0">
              <w:rPr>
                <w:rFonts w:ascii="Arial" w:hAnsi="Arial" w:cs="Arial"/>
                <w:sz w:val="18"/>
                <w:szCs w:val="18"/>
              </w:rPr>
              <w:t>(n=29)</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11</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HR =7.8</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2.2-28.3</w:t>
            </w:r>
          </w:p>
        </w:tc>
        <w:tc>
          <w:tcPr>
            <w:tcW w:w="0" w:type="auto"/>
          </w:tcPr>
          <w:p w:rsidR="00712499" w:rsidRPr="00DD27E0" w:rsidRDefault="00712499" w:rsidP="007B0DD7">
            <w:pPr>
              <w:rPr>
                <w:rFonts w:ascii="Arial" w:hAnsi="Arial" w:cs="Arial"/>
                <w:sz w:val="18"/>
                <w:szCs w:val="18"/>
              </w:rPr>
            </w:pPr>
            <w:r>
              <w:rPr>
                <w:rFonts w:ascii="Arial" w:hAnsi="Arial" w:cs="Arial"/>
                <w:sz w:val="18"/>
                <w:szCs w:val="18"/>
              </w:rPr>
              <w:t>0.002 (&lt;95s vs ≥ 95s</w:t>
            </w:r>
          </w:p>
          <w:p w:rsidR="00712499" w:rsidRPr="00DD27E0" w:rsidRDefault="00712499" w:rsidP="007B0DD7">
            <w:pPr>
              <w:rPr>
                <w:rFonts w:ascii="Arial" w:hAnsi="Arial" w:cs="Arial"/>
                <w:sz w:val="18"/>
                <w:szCs w:val="18"/>
              </w:rPr>
            </w:pPr>
            <w:r w:rsidRPr="00DD27E0">
              <w:rPr>
                <w:rFonts w:ascii="Arial" w:hAnsi="Arial" w:cs="Arial"/>
                <w:sz w:val="18"/>
                <w:szCs w:val="18"/>
              </w:rPr>
              <w:t>Log rank test</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No</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CADP-CT≥95s</w:t>
            </w:r>
          </w:p>
          <w:p w:rsidR="00712499" w:rsidRPr="00DD27E0" w:rsidRDefault="00712499" w:rsidP="007B0DD7">
            <w:pPr>
              <w:keepNext/>
              <w:rPr>
                <w:rFonts w:ascii="Arial" w:hAnsi="Arial" w:cs="Arial"/>
                <w:sz w:val="18"/>
                <w:szCs w:val="18"/>
              </w:rPr>
            </w:pPr>
            <w:r w:rsidRPr="00DD27E0">
              <w:rPr>
                <w:rFonts w:ascii="Arial" w:hAnsi="Arial" w:cs="Arial"/>
                <w:sz w:val="18"/>
                <w:szCs w:val="18"/>
              </w:rPr>
              <w:t>(n=105)</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3</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CADP-CT&lt;95s</w:t>
            </w:r>
          </w:p>
          <w:p w:rsidR="00712499" w:rsidRPr="00DD27E0" w:rsidRDefault="00712499" w:rsidP="007B0DD7">
            <w:pPr>
              <w:keepNext/>
              <w:rPr>
                <w:rFonts w:ascii="Arial" w:hAnsi="Arial" w:cs="Arial"/>
                <w:sz w:val="18"/>
                <w:szCs w:val="18"/>
              </w:rPr>
            </w:pPr>
            <w:r w:rsidRPr="00DD27E0">
              <w:rPr>
                <w:rFonts w:ascii="Arial" w:hAnsi="Arial" w:cs="Arial"/>
                <w:sz w:val="18"/>
                <w:szCs w:val="18"/>
              </w:rPr>
              <w:t>(n=29)</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11</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HR =5.28</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1.37-20.08</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0.015 (&lt;95s vs ≥ 95s_</w:t>
            </w:r>
          </w:p>
          <w:p w:rsidR="00712499" w:rsidRPr="00DD27E0" w:rsidRDefault="00712499" w:rsidP="007B0DD7">
            <w:pPr>
              <w:rPr>
                <w:rFonts w:ascii="Arial" w:hAnsi="Arial" w:cs="Arial"/>
                <w:sz w:val="18"/>
                <w:szCs w:val="18"/>
              </w:rPr>
            </w:pPr>
            <w:r w:rsidRPr="00DD27E0">
              <w:rPr>
                <w:rFonts w:ascii="Arial" w:hAnsi="Arial" w:cs="Arial"/>
                <w:sz w:val="18"/>
                <w:szCs w:val="18"/>
              </w:rPr>
              <w:t>Log rank test</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Yes; Age,Male gender,CEPI-CT &lt;193 s, diabetes mellitus,</w:t>
            </w:r>
            <w:r>
              <w:rPr>
                <w:rFonts w:ascii="Arial" w:hAnsi="Arial" w:cs="Arial"/>
                <w:sz w:val="18"/>
                <w:szCs w:val="18"/>
              </w:rPr>
              <w:t xml:space="preserve"> </w:t>
            </w:r>
            <w:r w:rsidRPr="00DD27E0">
              <w:rPr>
                <w:rFonts w:ascii="Arial" w:hAnsi="Arial" w:cs="Arial"/>
                <w:sz w:val="18"/>
                <w:szCs w:val="18"/>
              </w:rPr>
              <w:t>Hypertension, LV ejection fraction (%), creatinine (mg/dl),</w:t>
            </w:r>
            <w:r>
              <w:rPr>
                <w:rFonts w:ascii="Arial" w:hAnsi="Arial" w:cs="Arial"/>
                <w:sz w:val="18"/>
                <w:szCs w:val="18"/>
              </w:rPr>
              <w:t xml:space="preserve"> </w:t>
            </w:r>
            <w:r w:rsidRPr="00DD27E0">
              <w:rPr>
                <w:rFonts w:ascii="Arial" w:hAnsi="Arial" w:cs="Arial"/>
                <w:sz w:val="18"/>
                <w:szCs w:val="18"/>
              </w:rPr>
              <w:t>statins use, von williebrand aggregation % (natural log-transformed), acute</w:t>
            </w:r>
            <w:r>
              <w:rPr>
                <w:rFonts w:ascii="Arial" w:hAnsi="Arial" w:cs="Arial"/>
                <w:sz w:val="18"/>
                <w:szCs w:val="18"/>
              </w:rPr>
              <w:t xml:space="preserve"> coronary syndrome at admission</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NR</w:t>
            </w: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CADP-CT≥95s</w:t>
            </w:r>
          </w:p>
          <w:p w:rsidR="00712499" w:rsidRPr="00DD27E0" w:rsidRDefault="00712499" w:rsidP="007B0DD7">
            <w:pPr>
              <w:keepNext/>
              <w:rPr>
                <w:rFonts w:ascii="Arial" w:hAnsi="Arial" w:cs="Arial"/>
                <w:sz w:val="18"/>
                <w:szCs w:val="18"/>
              </w:rPr>
            </w:pPr>
            <w:r w:rsidRPr="00DD27E0">
              <w:rPr>
                <w:rFonts w:ascii="Arial" w:hAnsi="Arial" w:cs="Arial"/>
                <w:sz w:val="18"/>
                <w:szCs w:val="18"/>
              </w:rPr>
              <w:t>(n=105)</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3</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CV death, non-fatal MI, or non-fatal stroke plus hospitalization due to a cardiac ischemic event, including unstable angina and urgent target vessel revascularization (TVR)</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r w:rsidRPr="00DD27E0">
              <w:rPr>
                <w:rFonts w:ascii="Arial" w:hAnsi="Arial" w:cs="Arial"/>
                <w:bCs/>
                <w:sz w:val="18"/>
                <w:szCs w:val="18"/>
              </w:rPr>
              <w:t>24 months</w:t>
            </w: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CADP-CT</w:t>
            </w:r>
            <w:r>
              <w:rPr>
                <w:rFonts w:ascii="Arial" w:hAnsi="Arial" w:cs="Arial"/>
                <w:sz w:val="18"/>
                <w:szCs w:val="18"/>
              </w:rPr>
              <w:t xml:space="preserve"> </w:t>
            </w:r>
            <w:r w:rsidRPr="00DD27E0">
              <w:rPr>
                <w:rFonts w:ascii="Arial" w:hAnsi="Arial" w:cs="Arial"/>
                <w:sz w:val="18"/>
                <w:szCs w:val="18"/>
              </w:rPr>
              <w:t>&lt;95s</w:t>
            </w:r>
          </w:p>
          <w:p w:rsidR="00712499" w:rsidRPr="00DD27E0" w:rsidRDefault="00712499" w:rsidP="007B0DD7">
            <w:pPr>
              <w:keepNext/>
              <w:rPr>
                <w:rFonts w:ascii="Arial" w:hAnsi="Arial" w:cs="Arial"/>
                <w:sz w:val="18"/>
                <w:szCs w:val="18"/>
              </w:rPr>
            </w:pPr>
            <w:r w:rsidRPr="00DD27E0">
              <w:rPr>
                <w:rFonts w:ascii="Arial" w:hAnsi="Arial" w:cs="Arial"/>
                <w:sz w:val="18"/>
                <w:szCs w:val="18"/>
              </w:rPr>
              <w:t>(n=29)</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27</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P&lt;0.001 (&lt;95s vs ≥ 9</w:t>
            </w:r>
            <w:r>
              <w:rPr>
                <w:rFonts w:ascii="Arial" w:hAnsi="Arial" w:cs="Arial"/>
                <w:sz w:val="18"/>
                <w:szCs w:val="18"/>
              </w:rPr>
              <w:t>5s</w:t>
            </w:r>
          </w:p>
          <w:p w:rsidR="00712499" w:rsidRPr="00DD27E0" w:rsidRDefault="00712499" w:rsidP="007B0DD7">
            <w:pPr>
              <w:rPr>
                <w:rFonts w:ascii="Arial" w:hAnsi="Arial" w:cs="Arial"/>
                <w:sz w:val="18"/>
                <w:szCs w:val="18"/>
              </w:rPr>
            </w:pPr>
            <w:r w:rsidRPr="00DD27E0">
              <w:rPr>
                <w:rFonts w:ascii="Arial" w:hAnsi="Arial" w:cs="Arial"/>
                <w:sz w:val="18"/>
                <w:szCs w:val="18"/>
              </w:rPr>
              <w:t>Log rank test</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r w:rsidR="00712499" w:rsidRPr="00DD27E0" w:rsidTr="007B0DD7">
        <w:trPr>
          <w:cantSplit/>
        </w:trPr>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bCs/>
                <w:sz w:val="18"/>
                <w:szCs w:val="18"/>
              </w:rPr>
            </w:pPr>
          </w:p>
        </w:tc>
        <w:tc>
          <w:tcPr>
            <w:tcW w:w="0" w:type="auto"/>
          </w:tcPr>
          <w:p w:rsidR="00712499" w:rsidRPr="00DD27E0" w:rsidRDefault="00712499" w:rsidP="007B0DD7">
            <w:pPr>
              <w:keepNext/>
              <w:rPr>
                <w:rFonts w:ascii="Arial" w:hAnsi="Arial" w:cs="Arial"/>
                <w:sz w:val="18"/>
                <w:szCs w:val="18"/>
              </w:rPr>
            </w:pPr>
            <w:r w:rsidRPr="00DD27E0">
              <w:rPr>
                <w:rFonts w:ascii="Arial" w:hAnsi="Arial" w:cs="Arial"/>
                <w:sz w:val="18"/>
                <w:szCs w:val="18"/>
              </w:rPr>
              <w:t>CADP-CT≥95s</w:t>
            </w:r>
          </w:p>
          <w:p w:rsidR="00712499" w:rsidRPr="00DD27E0" w:rsidRDefault="00712499" w:rsidP="007B0DD7">
            <w:pPr>
              <w:keepNext/>
              <w:rPr>
                <w:rFonts w:ascii="Arial" w:hAnsi="Arial" w:cs="Arial"/>
                <w:sz w:val="18"/>
                <w:szCs w:val="18"/>
              </w:rPr>
            </w:pPr>
            <w:r w:rsidRPr="00DD27E0">
              <w:rPr>
                <w:rFonts w:ascii="Arial" w:hAnsi="Arial" w:cs="Arial"/>
                <w:sz w:val="18"/>
                <w:szCs w:val="18"/>
              </w:rPr>
              <w:t>(n=105)</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MACE+</w:t>
            </w:r>
          </w:p>
        </w:tc>
        <w:tc>
          <w:tcPr>
            <w:tcW w:w="0" w:type="auto"/>
          </w:tcPr>
          <w:p w:rsidR="00712499" w:rsidRPr="00DD27E0" w:rsidRDefault="00712499" w:rsidP="007B0DD7">
            <w:pPr>
              <w:rPr>
                <w:rFonts w:ascii="Arial" w:hAnsi="Arial" w:cs="Arial"/>
                <w:sz w:val="18"/>
                <w:szCs w:val="18"/>
              </w:rPr>
            </w:pPr>
            <w:r w:rsidRPr="00DD27E0">
              <w:rPr>
                <w:rFonts w:ascii="Arial" w:hAnsi="Arial" w:cs="Arial"/>
                <w:sz w:val="18"/>
                <w:szCs w:val="18"/>
              </w:rPr>
              <w:t>6</w:t>
            </w: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c>
          <w:tcPr>
            <w:tcW w:w="0" w:type="auto"/>
          </w:tcPr>
          <w:p w:rsidR="00712499" w:rsidRPr="00DD27E0" w:rsidRDefault="00712499" w:rsidP="007B0DD7">
            <w:pPr>
              <w:rPr>
                <w:rFonts w:ascii="Arial" w:hAnsi="Arial" w:cs="Arial"/>
                <w:sz w:val="18"/>
                <w:szCs w:val="18"/>
              </w:rPr>
            </w:pPr>
          </w:p>
        </w:tc>
      </w:tr>
    </w:tbl>
    <w:p w:rsidR="00712499" w:rsidRPr="0069565C" w:rsidRDefault="00712499" w:rsidP="00712499">
      <w:pPr>
        <w:pStyle w:val="TableNote"/>
      </w:pPr>
      <w:r>
        <w:t>*</w:t>
      </w:r>
      <w:r w:rsidRPr="00DD27E0">
        <w:t>Myocardial infarction was defined as any typical rise and fall of cardiac markers in the setting of clinical signs or symptoms consistent with the new definitions of MI as described by the European Society of Cardiology. The academic research consortium definitions were used for stent thrombosis (definite, probable, and possible).</w:t>
      </w:r>
    </w:p>
    <w:p w:rsidR="00E60974" w:rsidRPr="00712499" w:rsidRDefault="00E60974" w:rsidP="00712499">
      <w:bookmarkStart w:id="1" w:name="_GoBack"/>
      <w:bookmarkEnd w:id="1"/>
    </w:p>
    <w:sectPr w:rsidR="00E60974" w:rsidRPr="00712499" w:rsidSect="00923D5F">
      <w:footerReference w:type="default" r:id="rId8"/>
      <w:pgSz w:w="15840" w:h="12240" w:orient="landscape"/>
      <w:pgMar w:top="1440" w:right="1440" w:bottom="1440" w:left="1440" w:header="720" w:footer="720" w:gutter="0"/>
      <w:pgNumType w:start="56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04" w:rsidRDefault="00964704" w:rsidP="00FC3BBE">
      <w:r>
        <w:separator/>
      </w:r>
    </w:p>
  </w:endnote>
  <w:endnote w:type="continuationSeparator" w:id="0">
    <w:p w:rsidR="00964704" w:rsidRDefault="00964704"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C071BD" w:rsidP="005A44EA">
        <w:pPr>
          <w:pStyle w:val="Footer"/>
          <w:jc w:val="center"/>
          <w:rPr>
            <w:rFonts w:ascii="Times New Roman" w:hAnsi="Times New Roman"/>
            <w:sz w:val="24"/>
            <w:szCs w:val="24"/>
          </w:rPr>
        </w:pPr>
        <w:r>
          <w:rPr>
            <w:rFonts w:ascii="Times New Roman" w:hAnsi="Times New Roman"/>
            <w:sz w:val="24"/>
            <w:szCs w:val="24"/>
          </w:rPr>
          <w:t>E</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712499">
          <w:rPr>
            <w:rFonts w:ascii="Times New Roman" w:hAnsi="Times New Roman"/>
            <w:noProof/>
            <w:sz w:val="24"/>
            <w:szCs w:val="24"/>
          </w:rPr>
          <w:t>574</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04" w:rsidRDefault="00964704" w:rsidP="00FC3BBE">
      <w:r>
        <w:separator/>
      </w:r>
    </w:p>
  </w:footnote>
  <w:footnote w:type="continuationSeparator" w:id="0">
    <w:p w:rsidR="00964704" w:rsidRDefault="00964704"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6">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9"/>
  </w:num>
  <w:num w:numId="3">
    <w:abstractNumId w:val="47"/>
  </w:num>
  <w:num w:numId="4">
    <w:abstractNumId w:val="25"/>
  </w:num>
  <w:num w:numId="5">
    <w:abstractNumId w:val="61"/>
  </w:num>
  <w:num w:numId="6">
    <w:abstractNumId w:val="40"/>
  </w:num>
  <w:num w:numId="7">
    <w:abstractNumId w:val="31"/>
  </w:num>
  <w:num w:numId="8">
    <w:abstractNumId w:val="35"/>
  </w:num>
  <w:num w:numId="9">
    <w:abstractNumId w:val="62"/>
  </w:num>
  <w:num w:numId="10">
    <w:abstractNumId w:val="20"/>
  </w:num>
  <w:num w:numId="11">
    <w:abstractNumId w:val="66"/>
  </w:num>
  <w:num w:numId="12">
    <w:abstractNumId w:val="24"/>
  </w:num>
  <w:num w:numId="13">
    <w:abstractNumId w:val="16"/>
  </w:num>
  <w:num w:numId="14">
    <w:abstractNumId w:val="21"/>
  </w:num>
  <w:num w:numId="15">
    <w:abstractNumId w:val="29"/>
  </w:num>
  <w:num w:numId="16">
    <w:abstractNumId w:val="22"/>
  </w:num>
  <w:num w:numId="17">
    <w:abstractNumId w:val="58"/>
  </w:num>
  <w:num w:numId="18">
    <w:abstractNumId w:val="38"/>
  </w:num>
  <w:num w:numId="19">
    <w:abstractNumId w:val="41"/>
  </w:num>
  <w:num w:numId="20">
    <w:abstractNumId w:val="52"/>
  </w:num>
  <w:num w:numId="21">
    <w:abstractNumId w:val="48"/>
  </w:num>
  <w:num w:numId="22">
    <w:abstractNumId w:val="28"/>
  </w:num>
  <w:num w:numId="23">
    <w:abstractNumId w:val="67"/>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5"/>
  </w:num>
  <w:num w:numId="37">
    <w:abstractNumId w:val="59"/>
  </w:num>
  <w:num w:numId="38">
    <w:abstractNumId w:val="0"/>
  </w:num>
  <w:num w:numId="39">
    <w:abstractNumId w:val="13"/>
  </w:num>
  <w:num w:numId="40">
    <w:abstractNumId w:val="37"/>
  </w:num>
  <w:num w:numId="41">
    <w:abstractNumId w:val="45"/>
  </w:num>
  <w:num w:numId="42">
    <w:abstractNumId w:val="51"/>
  </w:num>
  <w:num w:numId="43">
    <w:abstractNumId w:val="33"/>
  </w:num>
  <w:num w:numId="44">
    <w:abstractNumId w:val="46"/>
  </w:num>
  <w:num w:numId="45">
    <w:abstractNumId w:val="60"/>
  </w:num>
  <w:num w:numId="46">
    <w:abstractNumId w:val="42"/>
  </w:num>
  <w:num w:numId="47">
    <w:abstractNumId w:val="18"/>
  </w:num>
  <w:num w:numId="48">
    <w:abstractNumId w:val="19"/>
  </w:num>
  <w:num w:numId="49">
    <w:abstractNumId w:val="43"/>
  </w:num>
  <w:num w:numId="50">
    <w:abstractNumId w:val="17"/>
  </w:num>
  <w:num w:numId="51">
    <w:abstractNumId w:val="56"/>
  </w:num>
  <w:num w:numId="52">
    <w:abstractNumId w:val="50"/>
  </w:num>
  <w:num w:numId="53">
    <w:abstractNumId w:val="32"/>
  </w:num>
  <w:num w:numId="54">
    <w:abstractNumId w:val="15"/>
  </w:num>
  <w:num w:numId="55">
    <w:abstractNumId w:val="53"/>
  </w:num>
  <w:num w:numId="56">
    <w:abstractNumId w:val="14"/>
  </w:num>
  <w:num w:numId="57">
    <w:abstractNumId w:val="44"/>
  </w:num>
  <w:num w:numId="58">
    <w:abstractNumId w:val="39"/>
  </w:num>
  <w:num w:numId="59">
    <w:abstractNumId w:val="12"/>
  </w:num>
  <w:num w:numId="60">
    <w:abstractNumId w:val="57"/>
  </w:num>
  <w:num w:numId="61">
    <w:abstractNumId w:val="11"/>
  </w:num>
  <w:num w:numId="62">
    <w:abstractNumId w:val="68"/>
  </w:num>
  <w:num w:numId="63">
    <w:abstractNumId w:val="63"/>
  </w:num>
  <w:num w:numId="64">
    <w:abstractNumId w:val="27"/>
  </w:num>
  <w:num w:numId="65">
    <w:abstractNumId w:val="23"/>
  </w:num>
  <w:num w:numId="66">
    <w:abstractNumId w:val="64"/>
  </w:num>
  <w:num w:numId="67">
    <w:abstractNumId w:val="54"/>
  </w:num>
  <w:num w:numId="68">
    <w:abstractNumId w:val="36"/>
  </w:num>
  <w:num w:numId="69">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13D1"/>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2499"/>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0CA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3D5F"/>
    <w:rsid w:val="00924F33"/>
    <w:rsid w:val="00926281"/>
    <w:rsid w:val="009346BE"/>
    <w:rsid w:val="0093619C"/>
    <w:rsid w:val="009400B5"/>
    <w:rsid w:val="00947411"/>
    <w:rsid w:val="00951D73"/>
    <w:rsid w:val="00954977"/>
    <w:rsid w:val="009550E1"/>
    <w:rsid w:val="00956053"/>
    <w:rsid w:val="009613F3"/>
    <w:rsid w:val="009627F2"/>
    <w:rsid w:val="00964704"/>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1BD"/>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6AF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F938631-4C18-4F52-BDED-A7957A3A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FC4A-EB4D-4FA7-9514-5000D8F5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6</cp:revision>
  <cp:lastPrinted>2013-09-19T14:49:00Z</cp:lastPrinted>
  <dcterms:created xsi:type="dcterms:W3CDTF">2013-09-27T03:34:00Z</dcterms:created>
  <dcterms:modified xsi:type="dcterms:W3CDTF">2014-08-21T17:31:00Z</dcterms:modified>
</cp:coreProperties>
</file>