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E98.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PFA-100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tent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hrombosis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21"/>
        <w:gridCol w:w="1228"/>
        <w:gridCol w:w="921"/>
        <w:gridCol w:w="841"/>
        <w:gridCol w:w="975"/>
        <w:gridCol w:w="1099"/>
        <w:gridCol w:w="1045"/>
        <w:gridCol w:w="842"/>
        <w:gridCol w:w="868"/>
        <w:gridCol w:w="1028"/>
        <w:gridCol w:w="424"/>
        <w:gridCol w:w="979"/>
        <w:gridCol w:w="1045"/>
        <w:gridCol w:w="1054"/>
        <w:gridCol w:w="885"/>
      </w:tblGrid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  <w:r w:rsidR="00D23E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6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17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4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7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9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10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106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1075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8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D23E25" w:rsidP="005E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maintaining Clopidogrel </w:t>
            </w:r>
            <w:r w:rsidR="00E60974" w:rsidRPr="0069565C">
              <w:rPr>
                <w:rFonts w:ascii="Arial" w:hAnsi="Arial" w:cs="Arial"/>
                <w:sz w:val="16"/>
                <w:szCs w:val="16"/>
              </w:rPr>
              <w:t>75 mg daily +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69565C">
              <w:rPr>
                <w:rFonts w:ascii="Arial" w:hAnsi="Arial" w:cs="Arial"/>
                <w:sz w:val="16"/>
                <w:szCs w:val="16"/>
              </w:rPr>
              <w:t>aspirin 80-100mg daily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PFA 100 collagen/ ADP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OTPR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5/506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OR=0.75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0.20-2.83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0.67high OTPR vs.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logistic regression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4/306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(1.3)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D23E2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Clopidogrel 75 mg daily +</w:t>
            </w:r>
            <w:r w:rsidR="00D23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aspirin 80-100mg daily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Innovance PFA P2Y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OTPR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1/147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(0.7)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OR=0.75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0.08-6.75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0.8 high OTPR vs. 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logistic regression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4/441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Gori,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19132241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Italy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LD and 75mg/day MD Clopidogrel+325 mg 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CADP PFA-100 among patients at high risk for AEs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probable: ACS + either angiographic confirmation of thrombosis or pathological confirmation of thrombosis; or unexplained death or MI in the territory supplied by a stented vessel without angiographic confirmation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residual platelet reactivity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(n=196)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075" w:type="dxa"/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100% sensitivity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52% (47-57%) specificity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sensitivity and specificity, &lt;0.001 vs CEPI–PFA-100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LD and 75mg/day MD Clopidogrel+325 mg 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CEPI PFA-100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see above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6 -month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residual platelet reactivity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3.97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1.61-9.79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 logistic regression Univariate analysis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LD and 75mg/day MD Clopidogrel+325 mg 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CEPI PFA-100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see above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6-month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residual platelet reactivity RPR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3.25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1.26-8.39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0.025 logistic regresssion Multivariate analysis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LD and 75mg/day MD Clopidogrel</w:t>
            </w:r>
            <w:r w:rsidR="00D23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+</w:t>
            </w:r>
            <w:r w:rsidR="00D23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325 mg 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CEPI PFA-100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see above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6-month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residual platelet reactivity RPR (n=133)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OR=3.97 (calculated) 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1.6-9.8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p=0.002RPR vs. no RPR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RPR (n=613)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LD and 75mg/day MD Clopidogrel</w:t>
            </w:r>
            <w:r w:rsidR="00D23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+</w:t>
            </w:r>
            <w:r w:rsidR="00D23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325 mg 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CEPI PFA-100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see above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6 -month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residual platelet reactivity RPR (n=133)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075" w:type="dxa"/>
          </w:tcPr>
          <w:p w:rsidR="009A534C" w:rsidRPr="00D23E25" w:rsidRDefault="00E60974" w:rsidP="00D23E25">
            <w:pPr>
              <w:ind w:left="-12"/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Cutoff from AUC 238 sec</w:t>
            </w:r>
          </w:p>
          <w:p w:rsidR="009A534C" w:rsidRPr="00D23E25" w:rsidRDefault="00E60974" w:rsidP="00D23E25">
            <w:pPr>
              <w:ind w:left="-12"/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45% (23-69%) sensitivity</w:t>
            </w:r>
          </w:p>
          <w:p w:rsidR="009A534C" w:rsidRPr="00D23E25" w:rsidRDefault="00E60974" w:rsidP="00D23E25">
            <w:pPr>
              <w:ind w:left="-12"/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83% (80-86%) specificity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specificity, &lt;0.01 vs. LTA-ADP and &lt;0.0001 vs. LTA-collagen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D23E25">
        <w:trPr>
          <w:cantSplit/>
          <w:trHeight w:val="563"/>
          <w:jc w:val="center"/>
        </w:trPr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LD and 75mg/day MD Clopidogrel</w:t>
            </w:r>
            <w:r w:rsidR="00D23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+</w:t>
            </w:r>
            <w:r w:rsidR="00D23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325 mg 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CEPI PFA-100 among patients at high risk for AEs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see above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6-month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residual platelet reactivity RPR (n=238)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075" w:type="dxa"/>
          </w:tcPr>
          <w:p w:rsidR="009A534C" w:rsidRPr="00D23E25" w:rsidRDefault="00E60974" w:rsidP="00D23E25">
            <w:pPr>
              <w:ind w:left="-12"/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40% (19-61%) sensitivity</w:t>
            </w:r>
          </w:p>
          <w:p w:rsidR="009A534C" w:rsidRPr="00D23E25" w:rsidRDefault="00E60974" w:rsidP="00D23E25">
            <w:pPr>
              <w:ind w:left="-12"/>
              <w:rPr>
                <w:rFonts w:ascii="Arial" w:hAnsi="Arial" w:cs="Arial"/>
                <w:bCs/>
                <w:sz w:val="16"/>
                <w:szCs w:val="16"/>
              </w:rPr>
            </w:pPr>
            <w:r w:rsidRPr="00D23E25">
              <w:rPr>
                <w:rFonts w:ascii="Arial" w:hAnsi="Arial" w:cs="Arial"/>
                <w:sz w:val="16"/>
                <w:szCs w:val="16"/>
              </w:rPr>
              <w:t>81% (78-89%) specificity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specificity, &lt;0.0001 vs. LTA-ADP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473815" w:rsidP="00473815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473815">
      <w:footerReference w:type="default" r:id="rId9"/>
      <w:pgSz w:w="15840" w:h="12240" w:orient="landscape"/>
      <w:pgMar w:top="1440" w:right="1440" w:bottom="1440" w:left="1440" w:header="720" w:footer="720" w:gutter="0"/>
      <w:pgNumType w:start="5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DE" w:rsidRDefault="00493FDE" w:rsidP="00FC3BBE">
      <w:r>
        <w:separator/>
      </w:r>
    </w:p>
  </w:endnote>
  <w:endnote w:type="continuationSeparator" w:id="0">
    <w:p w:rsidR="00493FDE" w:rsidRDefault="00493FDE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473815">
          <w:rPr>
            <w:rFonts w:ascii="Times New Roman" w:hAnsi="Times New Roman"/>
            <w:noProof/>
            <w:sz w:val="24"/>
            <w:szCs w:val="24"/>
          </w:rPr>
          <w:t>562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DE" w:rsidRDefault="00493FDE" w:rsidP="00FC3BBE">
      <w:r>
        <w:separator/>
      </w:r>
    </w:p>
  </w:footnote>
  <w:footnote w:type="continuationSeparator" w:id="0">
    <w:p w:rsidR="00493FDE" w:rsidRDefault="00493FDE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73815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3FDE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BC9C-333F-46DA-B161-CACE65AA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2013-11-11T07:04:00Z</dcterms:modified>
</cp:coreProperties>
</file>