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5E1103">
      <w:pPr>
        <w:rPr>
          <w:rFonts w:ascii="Arial" w:hAnsi="Arial" w:cs="Arial"/>
          <w:b/>
          <w:sz w:val="20"/>
        </w:rPr>
      </w:pPr>
      <w:bookmarkStart w:id="0" w:name="_GoBack"/>
      <w:bookmarkEnd w:id="0"/>
      <w:r w:rsidRPr="0069565C">
        <w:rPr>
          <w:rFonts w:ascii="Arial" w:hAnsi="Arial" w:cs="Arial"/>
          <w:b/>
          <w:sz w:val="20"/>
        </w:rPr>
        <w:t xml:space="preserve">Appendix Table </w:t>
      </w:r>
      <w:proofErr w:type="spellStart"/>
      <w:r w:rsidRPr="0069565C">
        <w:rPr>
          <w:rFonts w:ascii="Arial" w:hAnsi="Arial" w:cs="Arial"/>
          <w:b/>
          <w:sz w:val="20"/>
        </w:rPr>
        <w:t>E73</w:t>
      </w:r>
      <w:proofErr w:type="spellEnd"/>
      <w:r w:rsidRPr="0069565C">
        <w:rPr>
          <w:rFonts w:ascii="Arial" w:hAnsi="Arial" w:cs="Arial"/>
          <w:b/>
          <w:sz w:val="20"/>
        </w:rPr>
        <w:t xml:space="preserve">. Results </w:t>
      </w:r>
      <w:r>
        <w:rPr>
          <w:rFonts w:ascii="Arial" w:hAnsi="Arial" w:cs="Arial"/>
          <w:b/>
          <w:sz w:val="20"/>
        </w:rPr>
        <w:t>f</w:t>
      </w:r>
      <w:r w:rsidRPr="0069565C">
        <w:rPr>
          <w:rFonts w:ascii="Arial" w:hAnsi="Arial" w:cs="Arial"/>
          <w:b/>
          <w:sz w:val="20"/>
        </w:rPr>
        <w:t xml:space="preserve">rom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tudies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ssessing the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bility of </w:t>
      </w:r>
      <w:proofErr w:type="spellStart"/>
      <w:r w:rsidRPr="0069565C">
        <w:rPr>
          <w:rFonts w:ascii="Arial" w:hAnsi="Arial" w:cs="Arial"/>
          <w:b/>
          <w:sz w:val="20"/>
        </w:rPr>
        <w:t>Multiplate</w:t>
      </w:r>
      <w:proofErr w:type="spellEnd"/>
      <w:r w:rsidRPr="0069565C">
        <w:rPr>
          <w:rFonts w:ascii="Arial" w:hAnsi="Arial" w:cs="Arial"/>
          <w:b/>
          <w:sz w:val="20"/>
        </w:rPr>
        <w:t xml:space="preserve"> Analyzer to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redict </w:t>
      </w:r>
      <w:r>
        <w:rPr>
          <w:rFonts w:ascii="Arial" w:hAnsi="Arial" w:cs="Arial"/>
          <w:b/>
          <w:sz w:val="20"/>
        </w:rPr>
        <w:t>b</w:t>
      </w:r>
      <w:r w:rsidRPr="0069565C">
        <w:rPr>
          <w:rFonts w:ascii="Arial" w:hAnsi="Arial" w:cs="Arial"/>
          <w:b/>
          <w:sz w:val="20"/>
        </w:rPr>
        <w:t xml:space="preserve">leeding </w:t>
      </w:r>
      <w:r>
        <w:rPr>
          <w:rFonts w:ascii="Arial" w:hAnsi="Arial" w:cs="Arial"/>
          <w:b/>
          <w:sz w:val="20"/>
        </w:rPr>
        <w:t>e</w:t>
      </w:r>
      <w:r w:rsidRPr="0069565C">
        <w:rPr>
          <w:rFonts w:ascii="Arial" w:hAnsi="Arial" w:cs="Arial"/>
          <w:b/>
          <w:sz w:val="20"/>
        </w:rPr>
        <w:t xml:space="preserve">vents in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atients </w:t>
      </w:r>
      <w:r>
        <w:rPr>
          <w:rFonts w:ascii="Arial" w:hAnsi="Arial" w:cs="Arial"/>
          <w:b/>
          <w:sz w:val="20"/>
        </w:rPr>
        <w:t>w</w:t>
      </w:r>
      <w:r w:rsidRPr="0069565C">
        <w:rPr>
          <w:rFonts w:ascii="Arial" w:hAnsi="Arial" w:cs="Arial"/>
          <w:b/>
          <w:sz w:val="20"/>
        </w:rPr>
        <w:t xml:space="preserve">ith </w:t>
      </w:r>
      <w:r>
        <w:rPr>
          <w:rFonts w:ascii="Arial" w:hAnsi="Arial" w:cs="Arial"/>
          <w:b/>
          <w:sz w:val="20"/>
        </w:rPr>
        <w:t>i</w:t>
      </w:r>
      <w:r w:rsidRPr="0069565C">
        <w:rPr>
          <w:rFonts w:ascii="Arial" w:hAnsi="Arial" w:cs="Arial"/>
          <w:b/>
          <w:sz w:val="20"/>
        </w:rPr>
        <w:t xml:space="preserve">schemic </w:t>
      </w:r>
      <w:r>
        <w:rPr>
          <w:rFonts w:ascii="Arial" w:hAnsi="Arial" w:cs="Arial"/>
          <w:b/>
          <w:sz w:val="20"/>
        </w:rPr>
        <w:t>h</w:t>
      </w:r>
      <w:r w:rsidRPr="0069565C">
        <w:rPr>
          <w:rFonts w:ascii="Arial" w:hAnsi="Arial" w:cs="Arial"/>
          <w:b/>
          <w:sz w:val="20"/>
        </w:rPr>
        <w:t xml:space="preserve">eart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>isease</w:t>
      </w:r>
    </w:p>
    <w:tbl>
      <w:tblPr>
        <w:tblW w:w="15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42"/>
        <w:gridCol w:w="1663"/>
        <w:gridCol w:w="1061"/>
        <w:gridCol w:w="1081"/>
        <w:gridCol w:w="1149"/>
        <w:gridCol w:w="900"/>
        <w:gridCol w:w="1170"/>
        <w:gridCol w:w="998"/>
        <w:gridCol w:w="982"/>
        <w:gridCol w:w="990"/>
        <w:gridCol w:w="630"/>
        <w:gridCol w:w="1080"/>
        <w:gridCol w:w="990"/>
        <w:gridCol w:w="810"/>
        <w:gridCol w:w="900"/>
      </w:tblGrid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Author,year</w:t>
            </w:r>
            <w:proofErr w:type="spellEnd"/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UID</w:t>
            </w:r>
            <w:proofErr w:type="spellEnd"/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Country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Study name</w:t>
            </w:r>
          </w:p>
        </w:tc>
        <w:tc>
          <w:tcPr>
            <w:tcW w:w="1663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Treatment</w:t>
            </w:r>
          </w:p>
        </w:tc>
        <w:tc>
          <w:tcPr>
            <w:tcW w:w="1061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Phenotypic Test Used [index test]</w:t>
            </w:r>
          </w:p>
        </w:tc>
        <w:tc>
          <w:tcPr>
            <w:tcW w:w="1081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Clinical Outcome</w:t>
            </w:r>
          </w:p>
        </w:tc>
        <w:tc>
          <w:tcPr>
            <w:tcW w:w="1149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Outcome Definition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Timing of measurement</w:t>
            </w:r>
          </w:p>
        </w:tc>
        <w:tc>
          <w:tcPr>
            <w:tcW w:w="117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Index test result: category (e.g., </w:t>
            </w:r>
            <w:proofErr w:type="spellStart"/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HPR</w:t>
            </w:r>
            <w:proofErr w:type="spellEnd"/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+) – ONE ROW PER PHENOTYPE GROUP</w:t>
            </w:r>
          </w:p>
        </w:tc>
        <w:tc>
          <w:tcPr>
            <w:tcW w:w="998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Outcome status (e.g., bleeding or no bleeding)</w:t>
            </w:r>
          </w:p>
        </w:tc>
        <w:tc>
          <w:tcPr>
            <w:tcW w:w="982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No. with outcome status within phenotype group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Comparative metric (OR, RR, </w:t>
            </w:r>
            <w:proofErr w:type="spellStart"/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HR</w:t>
            </w:r>
            <w:proofErr w:type="spellEnd"/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95% CI</w:t>
            </w:r>
          </w:p>
        </w:tc>
        <w:tc>
          <w:tcPr>
            <w:tcW w:w="108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 (between which groups?)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[statistical test]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Adjusted?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[YES/NO/NR]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If YES, for what factors?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Procedures for multiple comparisons [YES, NO, NR]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Comments (e.g., additional data in figures)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Sibbing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2010{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Sibbing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>, 2010 88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19943882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Sibbing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2010{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Sibbing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>, 2010 73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20633826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66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Clopidogrel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: 600 mg LD + 150 mg/day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clopidogrel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for 3 days + 75 mg/day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clopidogrel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 MD &amp; Aspirin: 500 mg IV LD + 100 mg aspirin (twice per day) MD</w:t>
            </w:r>
          </w:p>
        </w:tc>
        <w:tc>
          <w:tcPr>
            <w:tcW w:w="106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in-hospital major bleed</w:t>
            </w:r>
          </w:p>
        </w:tc>
        <w:tc>
          <w:tcPr>
            <w:tcW w:w="114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As per Thrombolysis in Myocardial Infarction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TIMI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>) criteria -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TIMI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major bleeding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Enhanced Responders (&lt;188 aggregation units*min)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in-hospital major bleed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21/975 (2.2%)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Sensitivity: 0.62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Specificity: 0.62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AUC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>=0.61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0.51-0.7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P=0.017 for ROC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Primary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Remaining patients - Not enhanced responders (≥188 aggregation units*min)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13/1558 (0.8%)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in-hospital major bleed</w:t>
            </w:r>
          </w:p>
        </w:tc>
        <w:tc>
          <w:tcPr>
            <w:tcW w:w="114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As per Thrombolysis in Myocardial Infarction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TIMI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>) criteria -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TIMI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major bleeding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Enhanced Responders (&lt;188 aggregation units*min)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in-hospital major bleed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21/975 (2.2%)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OR=2.6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1.3-5.2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P=0.005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(enhanced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vs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remaining responder)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llogistic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regression ]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Primary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Remaining patients - Not enhanced responders (≥188 aggregation units*min)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13/1558 (0.8%)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in-hospital major bleed</w:t>
            </w:r>
          </w:p>
        </w:tc>
        <w:tc>
          <w:tcPr>
            <w:tcW w:w="114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As per Thrombolysis in Myocardial Infarction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TIMI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>) criteria -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TIMI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major bleeding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Enhanced Responders (&lt;188 aggregation units*min)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in-hospital major bleed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21/975 (2.2%)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OR=3.5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1.6-7.3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P=0.001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(enhanced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vs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remaining responder)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[multiple logistic regression ]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YES;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age, body mass index, diabetes, renal failure, presence of an MI at admission, treatment at admission with aspirin, a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thienopyridine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, a statin or a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coumarin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derivate, use of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abciximab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, use of intra-aortic balloon pumping, number of lesions treated and complex lesions (defined as type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B2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>/C lesions according to AHA/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ACC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lesions morphology).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 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Primary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Remaining patients - Not enhanced responders (≥188 aggregation units*min)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13/1558 (0.8%)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in-hospital major bleed</w:t>
            </w:r>
          </w:p>
        </w:tc>
        <w:tc>
          <w:tcPr>
            <w:tcW w:w="114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As per Thrombolysis in Myocardial Infarction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TIMI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>) criteria -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TIMI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major bleeding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Enhanced responder (</w:t>
            </w:r>
            <w:proofErr w:type="spellStart"/>
            <w:r w:rsidRPr="0069565C">
              <w:rPr>
                <w:rFonts w:ascii="Arial" w:hAnsi="Arial" w:cs="Arial"/>
                <w:bCs/>
                <w:sz w:val="16"/>
                <w:szCs w:val="16"/>
              </w:rPr>
              <w:t>AUC≤188</w:t>
            </w:r>
            <w:proofErr w:type="spellEnd"/>
            <w:r w:rsidRPr="0069565C">
              <w:rPr>
                <w:rFonts w:ascii="Arial" w:hAnsi="Arial" w:cs="Arial"/>
                <w:bCs/>
                <w:sz w:val="16"/>
                <w:szCs w:val="16"/>
              </w:rPr>
              <w:t>) (N=975)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 bleeding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 /975(2.2%)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0.018 across this and next two rows of enhanced, normal and low responders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Data for this outcome are %s in Fig. 1—can be obtained by digitizing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Normal responder (</w:t>
            </w:r>
            <w:proofErr w:type="spellStart"/>
            <w:r w:rsidRPr="0069565C">
              <w:rPr>
                <w:rFonts w:ascii="Arial" w:hAnsi="Arial" w:cs="Arial"/>
                <w:bCs/>
                <w:sz w:val="16"/>
                <w:szCs w:val="16"/>
              </w:rPr>
              <w:t>AUC189</w:t>
            </w:r>
            <w:proofErr w:type="spellEnd"/>
            <w:r w:rsidRPr="0069565C">
              <w:rPr>
                <w:rFonts w:ascii="Arial" w:hAnsi="Arial" w:cs="Arial"/>
                <w:bCs/>
                <w:sz w:val="16"/>
                <w:szCs w:val="16"/>
              </w:rPr>
              <w:t>-467) (N=1130)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 bleeding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NR/1130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0.72 between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noral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and low responder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Low responder (</w:t>
            </w:r>
            <w:proofErr w:type="spellStart"/>
            <w:r w:rsidRPr="0069565C">
              <w:rPr>
                <w:rFonts w:ascii="Arial" w:hAnsi="Arial" w:cs="Arial"/>
                <w:bCs/>
                <w:sz w:val="16"/>
                <w:szCs w:val="16"/>
              </w:rPr>
              <w:t>AUC≥468</w:t>
            </w:r>
            <w:proofErr w:type="spellEnd"/>
            <w:r w:rsidRPr="0069565C">
              <w:rPr>
                <w:rFonts w:ascii="Arial" w:hAnsi="Arial" w:cs="Arial"/>
                <w:bCs/>
                <w:sz w:val="16"/>
                <w:szCs w:val="16"/>
              </w:rPr>
              <w:t>) (N=428)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 bleeding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NR/428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in-hospital minor bleed</w:t>
            </w:r>
          </w:p>
        </w:tc>
        <w:tc>
          <w:tcPr>
            <w:tcW w:w="114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As per Thrombolysis in Myocardial Infarction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TIMI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>) criteria -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TIMI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minor bleeding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Enhanced Responders (&lt;188 aggregation units*min)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in-hospital minor bleed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55/975 (5.6%)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OR=1.1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0.8-1.5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P=0.68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(enhanced 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vs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remaining responder)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[logistic regression 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Primary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Remaining patients - Not enhanced responders (≥188 aggregation units*min)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82/1558 (5.3%)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Bleeding Composite</w:t>
            </w:r>
          </w:p>
        </w:tc>
        <w:tc>
          <w:tcPr>
            <w:tcW w:w="114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TIMI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 major and minor bleeding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Enhanced Responders (&lt;188 aggregation units*min)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in-hospital major and minor bleed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76/975 (7.8%)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OR=1.3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0.95-1.8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P=0.1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lenhanced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vs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remaining responder)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[logistic regression ]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Primary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Remaining patients - Not enhanced responders (≥188 aggregation units*min)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95/1558 (6.1%)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Sibbing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2009{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Sibbing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, 2009 135 /id}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19264241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Sibbing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2010{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Sibbing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>, 2010 100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20062919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66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Clopidogrel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: 600 mg LD + 150 mg/day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clopidogrel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for 3 days + 75 mg/day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clopidogrel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 MD &amp; Aspirin: 500 mg IV LD + 100 mg aspirin (twice per day) MD</w:t>
            </w: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Thrombolysis In Myocardial Infarction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TIMI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>) major bleeding</w:t>
            </w:r>
          </w:p>
        </w:tc>
        <w:tc>
          <w:tcPr>
            <w:tcW w:w="114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TIMI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criteria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 Responders (Quintile 1 ≤124 AU*min)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Thrombolysis In Myocardial Infarction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TIMI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>) major bleeding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4/318 (1.3%)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OR=1.8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(calculated)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0.6-5.9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P=0.32 between quintile 1 and 2-5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[Chi square]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Safety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Responders and low responders (Quintile 2 -5)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9/1290 (0.7%)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Thrombolysis In Myocardial Infarction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TIMI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>) minor bleeding</w:t>
            </w:r>
          </w:p>
        </w:tc>
        <w:tc>
          <w:tcPr>
            <w:tcW w:w="114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TIMI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criteria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 Responders (Quintile 1 ≤124 AU*min)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Thrombolysis In Myocardial Infarction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TIMI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>) minor bleeding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10/318 (3.1%)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OR=1.3 (calculated)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0.6-2.7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P=0.45 between high responder and remaining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[Chi square]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Safety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Responders and low responders (Quintile 2 -5)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31/1290 (2.4%)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Schulz 2010{Schulz, 2010 67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20691843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66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Clopidogrel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75 mg/d + Aspirin 100 mg/d</w:t>
            </w: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MEA by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Multiplate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analyzer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In-hospital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TIMI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major bleeding</w:t>
            </w:r>
          </w:p>
        </w:tc>
        <w:tc>
          <w:tcPr>
            <w:tcW w:w="114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defined according to Thrombolysis in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Myocardial Infarction criteria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year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 responder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In-hospital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TIMI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major bleeding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(0.3%)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HR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>=0.3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0.01-2.4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0. 460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(low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vs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normal)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Cox proportional hazards model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Secondary outcome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responder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12 (0.9%)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Siller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-matula, 2012{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Siller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-Matula, 2012 1 /id}22260716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PEGASUS-PCI</w:t>
            </w:r>
          </w:p>
        </w:tc>
        <w:tc>
          <w:tcPr>
            <w:tcW w:w="166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clopidogrel</w:t>
            </w:r>
            <w:proofErr w:type="spellEnd"/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 xml:space="preserve"> LD </w:t>
            </w:r>
            <w:proofErr w:type="spellStart"/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600mg</w:t>
            </w:r>
            <w:proofErr w:type="spellEnd"/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 xml:space="preserve">, MD </w:t>
            </w:r>
            <w:proofErr w:type="spellStart"/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75mg</w:t>
            </w:r>
            <w:proofErr w:type="spellEnd"/>
          </w:p>
        </w:tc>
        <w:tc>
          <w:tcPr>
            <w:tcW w:w="106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TIMI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major bleeding</w:t>
            </w:r>
          </w:p>
        </w:tc>
        <w:tc>
          <w:tcPr>
            <w:tcW w:w="114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TIMI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major bleeding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12-month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non-responder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TIMI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major bleeding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0/81 (0)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HR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>=0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OR=1.17(calculated)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0-33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0.009-2.84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yes,CY</w:t>
            </w:r>
            <w:proofErr w:type="spellEnd"/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P2C19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*2 carrier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status,BMI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, CRP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levels,DM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>, age, renal failure(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creatine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clearance&lt;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60mg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mL,MI,sex,PPI</w:t>
            </w:r>
            <w:proofErr w:type="spellEnd"/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responder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11/321(4)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Gerotziafas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>, 2012{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Gerotziafas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>, 2012 18243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22311629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Greece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66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aspirin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 xml:space="preserve">100 mg and </w:t>
            </w:r>
            <w:proofErr w:type="spellStart"/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clopidogrel</w:t>
            </w:r>
            <w:proofErr w:type="spellEnd"/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 xml:space="preserve"> 75 mg once daily</w:t>
            </w:r>
          </w:p>
        </w:tc>
        <w:tc>
          <w:tcPr>
            <w:tcW w:w="106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Bleeding</w:t>
            </w:r>
          </w:p>
        </w:tc>
        <w:tc>
          <w:tcPr>
            <w:tcW w:w="114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90 days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High platelet reactivity MEA &gt;</w:t>
            </w:r>
            <w:proofErr w:type="spellStart"/>
            <w:r w:rsidRPr="0069565C">
              <w:rPr>
                <w:rFonts w:ascii="Arial" w:hAnsi="Arial" w:cs="Arial"/>
                <w:bCs/>
                <w:sz w:val="16"/>
                <w:szCs w:val="16"/>
              </w:rPr>
              <w:t>50U</w:t>
            </w:r>
            <w:proofErr w:type="spellEnd"/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n=3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HPR</w:t>
            </w:r>
            <w:proofErr w:type="spellEnd"/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(calculated)=</w:t>
            </w:r>
            <w:r w:rsidRPr="0069565C">
              <w:t xml:space="preserve"> </w:t>
            </w:r>
            <w:r w:rsidRPr="0069565C">
              <w:rPr>
                <w:rFonts w:ascii="Arial" w:hAnsi="Arial" w:cs="Arial"/>
                <w:sz w:val="16"/>
                <w:szCs w:val="16"/>
              </w:rPr>
              <w:t xml:space="preserve">29.6 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P=0.1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HPR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vs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normal)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[Fisher’s exact]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normal platelet reactivity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n=103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Johnston, 2012{Johnston, 2012 18242 /id}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22465351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New Zealand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66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 xml:space="preserve">aspirin ≥300 mg at and </w:t>
            </w:r>
            <w:proofErr w:type="spellStart"/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clopidogrel</w:t>
            </w:r>
            <w:proofErr w:type="spellEnd"/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 xml:space="preserve">≥300 mg and/or aspirin (≥75 mg) and </w:t>
            </w:r>
            <w:proofErr w:type="spellStart"/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clopidogrel</w:t>
            </w:r>
            <w:proofErr w:type="spellEnd"/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 xml:space="preserve"> (≥75 mg)</w:t>
            </w:r>
          </w:p>
        </w:tc>
        <w:tc>
          <w:tcPr>
            <w:tcW w:w="106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Bleeding</w:t>
            </w:r>
          </w:p>
        </w:tc>
        <w:tc>
          <w:tcPr>
            <w:tcW w:w="114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 days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High on treatment platelet reactivity &gt;468 AU*min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n=95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HTPR</w:t>
            </w:r>
            <w:proofErr w:type="spellEnd"/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(calculated)=1.63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P=0.81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HTPR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vs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normal)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[Fisher’s exact]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3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106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normal platelet reactivity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≤468 AU*min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n=155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60974" w:rsidRPr="0069565C" w:rsidRDefault="00E60974" w:rsidP="005E1103"/>
    <w:p w:rsidR="00E60974" w:rsidRPr="00EE0FBC" w:rsidRDefault="00AB1367" w:rsidP="00AB1367">
      <w:pPr>
        <w:rPr>
          <w:rFonts w:ascii="Arial" w:hAnsi="Arial" w:cs="Arial"/>
          <w:sz w:val="20"/>
        </w:rPr>
      </w:pPr>
      <w:r w:rsidRPr="00EE0FBC">
        <w:rPr>
          <w:rFonts w:ascii="Arial" w:hAnsi="Arial" w:cs="Arial"/>
          <w:sz w:val="20"/>
        </w:rPr>
        <w:t xml:space="preserve"> </w:t>
      </w:r>
    </w:p>
    <w:p w:rsidR="00E60974" w:rsidRDefault="00E60974" w:rsidP="005E1103"/>
    <w:sectPr w:rsidR="00E60974" w:rsidSect="00AB1367">
      <w:footerReference w:type="default" r:id="rId9"/>
      <w:pgSz w:w="15840" w:h="12240" w:orient="landscape"/>
      <w:pgMar w:top="1440" w:right="1440" w:bottom="1440" w:left="1440" w:header="720" w:footer="720" w:gutter="0"/>
      <w:pgNumType w:start="50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81D" w:rsidRDefault="0092081D" w:rsidP="00FC3BBE">
      <w:r>
        <w:separator/>
      </w:r>
    </w:p>
  </w:endnote>
  <w:endnote w:type="continuationSeparator" w:id="0">
    <w:p w:rsidR="0092081D" w:rsidRDefault="0092081D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begin"/>
        </w:r>
        <w:r w:rsidR="006C58EB" w:rsidRPr="009F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separate"/>
        </w:r>
        <w:r w:rsidR="00AB1367">
          <w:rPr>
            <w:rFonts w:ascii="Times New Roman" w:hAnsi="Times New Roman"/>
            <w:noProof/>
            <w:sz w:val="24"/>
            <w:szCs w:val="24"/>
          </w:rPr>
          <w:t>505</w:t>
        </w:r>
        <w:r w:rsidR="006C58EB" w:rsidRPr="009F40D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81D" w:rsidRDefault="0092081D" w:rsidP="00FC3BBE">
      <w:r>
        <w:separator/>
      </w:r>
    </w:p>
  </w:footnote>
  <w:footnote w:type="continuationSeparator" w:id="0">
    <w:p w:rsidR="0092081D" w:rsidRDefault="0092081D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81D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1367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FE074-13F3-4FF3-AB96-A60EA0500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4</cp:revision>
  <cp:lastPrinted>2013-09-19T14:49:00Z</cp:lastPrinted>
  <dcterms:created xsi:type="dcterms:W3CDTF">2013-09-27T03:34:00Z</dcterms:created>
  <dcterms:modified xsi:type="dcterms:W3CDTF">2013-11-11T06:27:00Z</dcterms:modified>
</cp:coreProperties>
</file>