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  <w:szCs w:val="16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  <w:szCs w:val="16"/>
        </w:rPr>
        <w:t xml:space="preserve">Appendix Table E72. Results </w:t>
      </w:r>
      <w:r>
        <w:rPr>
          <w:rFonts w:ascii="Arial" w:hAnsi="Arial" w:cs="Arial"/>
          <w:b/>
          <w:sz w:val="20"/>
          <w:szCs w:val="16"/>
        </w:rPr>
        <w:t>f</w:t>
      </w:r>
      <w:r w:rsidRPr="0069565C">
        <w:rPr>
          <w:rFonts w:ascii="Arial" w:hAnsi="Arial" w:cs="Arial"/>
          <w:b/>
          <w:sz w:val="20"/>
          <w:szCs w:val="16"/>
        </w:rPr>
        <w:t xml:space="preserve">rom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tudies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Multiplate Analyzer to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 </w:t>
      </w:r>
      <w:r>
        <w:rPr>
          <w:rFonts w:ascii="Arial" w:hAnsi="Arial" w:cs="Arial"/>
          <w:b/>
          <w:sz w:val="20"/>
          <w:szCs w:val="16"/>
        </w:rPr>
        <w:t>m</w:t>
      </w:r>
      <w:r w:rsidRPr="0069565C">
        <w:rPr>
          <w:rFonts w:ascii="Arial" w:hAnsi="Arial" w:cs="Arial"/>
          <w:b/>
          <w:sz w:val="20"/>
          <w:szCs w:val="16"/>
        </w:rPr>
        <w:t xml:space="preserve">ajor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dverse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ardiovascular </w:t>
      </w:r>
      <w:r>
        <w:rPr>
          <w:rFonts w:ascii="Arial" w:hAnsi="Arial" w:cs="Arial"/>
          <w:b/>
          <w:sz w:val="20"/>
          <w:szCs w:val="16"/>
        </w:rPr>
        <w:t>e</w:t>
      </w:r>
      <w:r w:rsidRPr="0069565C">
        <w:rPr>
          <w:rFonts w:ascii="Arial" w:hAnsi="Arial" w:cs="Arial"/>
          <w:b/>
          <w:sz w:val="20"/>
          <w:szCs w:val="16"/>
        </w:rPr>
        <w:t xml:space="preserve">vents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</w:t>
      </w:r>
      <w:r>
        <w:rPr>
          <w:rFonts w:ascii="Arial" w:hAnsi="Arial" w:cs="Arial"/>
          <w:b/>
          <w:sz w:val="20"/>
          <w:szCs w:val="16"/>
        </w:rPr>
        <w:t>w</w:t>
      </w:r>
      <w:r w:rsidRPr="0069565C">
        <w:rPr>
          <w:rFonts w:ascii="Arial" w:hAnsi="Arial" w:cs="Arial"/>
          <w:b/>
          <w:sz w:val="20"/>
          <w:szCs w:val="16"/>
        </w:rPr>
        <w:t xml:space="preserve">ith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erebrovascular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1170"/>
        <w:gridCol w:w="811"/>
        <w:gridCol w:w="907"/>
        <w:gridCol w:w="996"/>
        <w:gridCol w:w="900"/>
        <w:gridCol w:w="1170"/>
        <w:gridCol w:w="998"/>
        <w:gridCol w:w="982"/>
        <w:gridCol w:w="804"/>
        <w:gridCol w:w="630"/>
        <w:gridCol w:w="1060"/>
        <w:gridCol w:w="1260"/>
        <w:gridCol w:w="810"/>
        <w:gridCol w:w="63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Muller-Schunk, 2008{Muller-Schunk, 2008 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18223094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of clopidogrel  75 mg/day continuously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Impedance aggregometry 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Adverse event 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Transient intrainterventional thrombosis, TIA or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Adverse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5/14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OR=42.3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2.1-833.5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non-responder vs.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Fisher exact test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0/36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LD 300 mg of clopidogrel  75 mg/day continuously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Impedance aggregometry 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Adverse event 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Transient intrainterventional thrombosis, TIA or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Aggregation unit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Adverse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1U increase of aggregation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b/>
        </w:rPr>
      </w:pPr>
    </w:p>
    <w:p w:rsidR="00E60974" w:rsidRPr="00EE0FBC" w:rsidRDefault="00E97C6A" w:rsidP="00E97C6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C9" w:rsidRDefault="00AB77C9" w:rsidP="00FC3BBE">
      <w:r>
        <w:separator/>
      </w:r>
    </w:p>
  </w:endnote>
  <w:endnote w:type="continuationSeparator" w:id="0">
    <w:p w:rsidR="00AB77C9" w:rsidRDefault="00AB77C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E97C6A">
          <w:rPr>
            <w:rFonts w:ascii="Times New Roman" w:hAnsi="Times New Roman"/>
            <w:sz w:val="24"/>
            <w:szCs w:val="24"/>
          </w:rPr>
          <w:t>499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C9" w:rsidRDefault="00AB77C9" w:rsidP="00FC3BBE">
      <w:r>
        <w:separator/>
      </w:r>
    </w:p>
  </w:footnote>
  <w:footnote w:type="continuationSeparator" w:id="0">
    <w:p w:rsidR="00AB77C9" w:rsidRDefault="00AB77C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B77C9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97C6A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5932-E7EC-4C6C-A787-858EEB6A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2013-11-11T06:26:00Z</dcterms:modified>
</cp:coreProperties>
</file>