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64" w:rsidRPr="00BC3709" w:rsidRDefault="000F5964" w:rsidP="000F5964">
      <w:pPr>
        <w:pStyle w:val="TableTitle"/>
      </w:pPr>
      <w:r w:rsidRPr="00BC3709">
        <w:t>Appendix Table E62. Baseline characteristics of patients with ischemic heart disease in studies assessing the predictive ability of Multiplate Analyzer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 w:type="dxa"/>
          <w:right w:w="14" w:type="dxa"/>
        </w:tblCellMar>
        <w:tblLook w:val="04A0" w:firstRow="1" w:lastRow="0" w:firstColumn="1" w:lastColumn="0" w:noHBand="0" w:noVBand="1"/>
      </w:tblPr>
      <w:tblGrid>
        <w:gridCol w:w="1123"/>
        <w:gridCol w:w="1353"/>
        <w:gridCol w:w="1640"/>
        <w:gridCol w:w="1885"/>
        <w:gridCol w:w="1425"/>
        <w:gridCol w:w="1603"/>
        <w:gridCol w:w="1177"/>
        <w:gridCol w:w="1459"/>
        <w:gridCol w:w="1323"/>
      </w:tblGrid>
      <w:tr w:rsidR="000F5964" w:rsidRPr="0003666F" w:rsidTr="007B0DD7">
        <w:trPr>
          <w:cantSplit/>
          <w:tblHeader/>
        </w:trPr>
        <w:tc>
          <w:tcPr>
            <w:tcW w:w="1669" w:type="dxa"/>
            <w:shd w:val="clear" w:color="auto" w:fill="auto"/>
          </w:tcPr>
          <w:p w:rsidR="000F5964" w:rsidRPr="00BC3709" w:rsidRDefault="000F5964" w:rsidP="007B0DD7">
            <w:pPr>
              <w:rPr>
                <w:rFonts w:ascii="Arial" w:hAnsi="Arial" w:cs="Arial"/>
                <w:b/>
                <w:sz w:val="18"/>
                <w:szCs w:val="18"/>
              </w:rPr>
            </w:pPr>
          </w:p>
        </w:tc>
        <w:tc>
          <w:tcPr>
            <w:tcW w:w="1625"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Demographics</w:t>
            </w:r>
          </w:p>
        </w:tc>
        <w:tc>
          <w:tcPr>
            <w:tcW w:w="2642"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Vascular disease history</w:t>
            </w:r>
          </w:p>
          <w:p w:rsidR="000F5964" w:rsidRPr="00BC3709" w:rsidRDefault="000F5964" w:rsidP="007B0DD7">
            <w:pPr>
              <w:rPr>
                <w:rFonts w:ascii="Arial" w:hAnsi="Arial" w:cs="Arial"/>
                <w:b/>
                <w:sz w:val="18"/>
                <w:szCs w:val="18"/>
              </w:rPr>
            </w:pPr>
          </w:p>
        </w:tc>
        <w:tc>
          <w:tcPr>
            <w:tcW w:w="2164"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Vascular risk factors</w:t>
            </w:r>
          </w:p>
          <w:p w:rsidR="000F5964" w:rsidRPr="00BC3709" w:rsidRDefault="000F5964" w:rsidP="007B0DD7">
            <w:pPr>
              <w:rPr>
                <w:rFonts w:ascii="Arial" w:hAnsi="Arial" w:cs="Arial"/>
                <w:b/>
                <w:sz w:val="18"/>
                <w:szCs w:val="18"/>
              </w:rPr>
            </w:pPr>
          </w:p>
        </w:tc>
        <w:tc>
          <w:tcPr>
            <w:tcW w:w="1920"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Prior medications</w:t>
            </w:r>
          </w:p>
          <w:p w:rsidR="000F5964" w:rsidRPr="00BC3709" w:rsidRDefault="000F5964" w:rsidP="007B0DD7">
            <w:pPr>
              <w:rPr>
                <w:rFonts w:ascii="Arial" w:hAnsi="Arial" w:cs="Arial"/>
                <w:b/>
                <w:sz w:val="18"/>
                <w:szCs w:val="18"/>
              </w:rPr>
            </w:pPr>
            <w:r w:rsidRPr="00BC3709">
              <w:rPr>
                <w:rFonts w:ascii="Arial" w:hAnsi="Arial" w:cs="Arial"/>
                <w:b/>
                <w:sz w:val="18"/>
                <w:szCs w:val="18"/>
              </w:rPr>
              <w:t>(pre-study)</w:t>
            </w:r>
          </w:p>
        </w:tc>
        <w:tc>
          <w:tcPr>
            <w:tcW w:w="2557"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Procedural data</w:t>
            </w:r>
          </w:p>
          <w:p w:rsidR="000F5964" w:rsidRPr="00BC3709" w:rsidRDefault="000F5964" w:rsidP="007B0DD7">
            <w:pPr>
              <w:rPr>
                <w:rFonts w:ascii="Arial" w:hAnsi="Arial" w:cs="Arial"/>
                <w:b/>
                <w:sz w:val="18"/>
                <w:szCs w:val="18"/>
              </w:rPr>
            </w:pPr>
          </w:p>
        </w:tc>
        <w:tc>
          <w:tcPr>
            <w:tcW w:w="1423"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Current indication for clopidogrel treatment</w:t>
            </w:r>
          </w:p>
        </w:tc>
        <w:tc>
          <w:tcPr>
            <w:tcW w:w="1459"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Current antiplatelet regimen</w:t>
            </w:r>
          </w:p>
          <w:p w:rsidR="000F5964" w:rsidRPr="00BC3709" w:rsidRDefault="000F5964" w:rsidP="007B0DD7">
            <w:pPr>
              <w:rPr>
                <w:rFonts w:ascii="Arial" w:hAnsi="Arial" w:cs="Arial"/>
                <w:b/>
                <w:sz w:val="18"/>
                <w:szCs w:val="18"/>
              </w:rPr>
            </w:pPr>
          </w:p>
        </w:tc>
        <w:tc>
          <w:tcPr>
            <w:tcW w:w="1849"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Co-medication</w:t>
            </w:r>
          </w:p>
        </w:tc>
      </w:tr>
      <w:tr w:rsidR="000F5964" w:rsidRPr="0003666F" w:rsidTr="007B0DD7">
        <w:trPr>
          <w:cantSplit/>
          <w:tblHeader/>
        </w:trPr>
        <w:tc>
          <w:tcPr>
            <w:tcW w:w="1678"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Author, year [ref]</w:t>
            </w:r>
          </w:p>
          <w:p w:rsidR="000F5964" w:rsidRPr="00BC3709" w:rsidRDefault="000F5964" w:rsidP="007B0DD7">
            <w:pPr>
              <w:rPr>
                <w:rFonts w:ascii="Arial" w:hAnsi="Arial" w:cs="Arial"/>
                <w:b/>
                <w:sz w:val="18"/>
                <w:szCs w:val="18"/>
              </w:rPr>
            </w:pPr>
            <w:r w:rsidRPr="00BC3709">
              <w:rPr>
                <w:rFonts w:ascii="Arial" w:hAnsi="Arial" w:cs="Arial"/>
                <w:b/>
                <w:sz w:val="18"/>
                <w:szCs w:val="18"/>
              </w:rPr>
              <w:t>UID</w:t>
            </w:r>
          </w:p>
          <w:p w:rsidR="000F5964" w:rsidRPr="00BC3709" w:rsidRDefault="000F5964" w:rsidP="007B0DD7">
            <w:pPr>
              <w:rPr>
                <w:rFonts w:ascii="Arial" w:hAnsi="Arial" w:cs="Arial"/>
                <w:b/>
                <w:sz w:val="18"/>
                <w:szCs w:val="18"/>
              </w:rPr>
            </w:pPr>
            <w:r w:rsidRPr="00BC3709">
              <w:rPr>
                <w:rFonts w:ascii="Arial" w:hAnsi="Arial" w:cs="Arial"/>
                <w:b/>
                <w:sz w:val="18"/>
                <w:szCs w:val="18"/>
              </w:rPr>
              <w:t>Country</w:t>
            </w:r>
          </w:p>
          <w:p w:rsidR="000F5964" w:rsidRPr="00BC3709" w:rsidRDefault="000F5964" w:rsidP="007B0DD7">
            <w:pPr>
              <w:rPr>
                <w:rFonts w:ascii="Arial" w:hAnsi="Arial" w:cs="Arial"/>
                <w:b/>
                <w:sz w:val="18"/>
                <w:szCs w:val="18"/>
              </w:rPr>
            </w:pPr>
            <w:r w:rsidRPr="00BC3709">
              <w:rPr>
                <w:rFonts w:ascii="Arial" w:hAnsi="Arial" w:cs="Arial"/>
                <w:b/>
                <w:sz w:val="18"/>
                <w:szCs w:val="18"/>
              </w:rPr>
              <w:t>Study Name</w:t>
            </w:r>
          </w:p>
        </w:tc>
        <w:tc>
          <w:tcPr>
            <w:tcW w:w="1640"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 xml:space="preserve">Total N Enrolled </w:t>
            </w:r>
          </w:p>
          <w:p w:rsidR="000F5964" w:rsidRPr="00BC3709" w:rsidRDefault="000F5964" w:rsidP="007B0DD7">
            <w:pPr>
              <w:rPr>
                <w:rFonts w:ascii="Arial" w:hAnsi="Arial" w:cs="Arial"/>
                <w:b/>
                <w:sz w:val="18"/>
                <w:szCs w:val="18"/>
              </w:rPr>
            </w:pPr>
            <w:r w:rsidRPr="00BC3709">
              <w:rPr>
                <w:rFonts w:ascii="Arial" w:hAnsi="Arial" w:cs="Arial"/>
                <w:b/>
                <w:sz w:val="18"/>
                <w:szCs w:val="18"/>
              </w:rPr>
              <w:t>Race (% by group)</w:t>
            </w:r>
          </w:p>
          <w:p w:rsidR="000F5964" w:rsidRPr="00BC3709" w:rsidRDefault="000F5964" w:rsidP="007B0DD7">
            <w:pPr>
              <w:rPr>
                <w:rFonts w:ascii="Arial" w:hAnsi="Arial" w:cs="Arial"/>
                <w:b/>
                <w:sz w:val="18"/>
                <w:szCs w:val="18"/>
              </w:rPr>
            </w:pPr>
            <w:r w:rsidRPr="00BC3709">
              <w:rPr>
                <w:rFonts w:ascii="Arial" w:hAnsi="Arial" w:cs="Arial"/>
                <w:b/>
                <w:sz w:val="18"/>
                <w:szCs w:val="18"/>
              </w:rPr>
              <w:t>Male (%)</w:t>
            </w:r>
          </w:p>
          <w:p w:rsidR="000F5964" w:rsidRPr="00BC3709" w:rsidRDefault="000F5964" w:rsidP="007B0DD7">
            <w:pPr>
              <w:rPr>
                <w:rFonts w:ascii="Arial" w:hAnsi="Arial" w:cs="Arial"/>
                <w:b/>
                <w:sz w:val="18"/>
                <w:szCs w:val="18"/>
              </w:rPr>
            </w:pPr>
            <w:r w:rsidRPr="00BC3709">
              <w:rPr>
                <w:rFonts w:ascii="Arial" w:hAnsi="Arial" w:cs="Arial"/>
                <w:b/>
                <w:sz w:val="18"/>
                <w:szCs w:val="18"/>
              </w:rPr>
              <w:t>Age</w:t>
            </w:r>
            <w:r>
              <w:rPr>
                <w:rFonts w:ascii="Arial" w:hAnsi="Arial" w:cs="Arial"/>
                <w:b/>
                <w:sz w:val="18"/>
                <w:szCs w:val="18"/>
              </w:rPr>
              <w:t>*</w:t>
            </w:r>
          </w:p>
        </w:tc>
        <w:tc>
          <w:tcPr>
            <w:tcW w:w="2696"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Previous CAD (%)</w:t>
            </w:r>
          </w:p>
          <w:p w:rsidR="000F5964" w:rsidRPr="00BC3709" w:rsidRDefault="000F5964" w:rsidP="007B0DD7">
            <w:pPr>
              <w:rPr>
                <w:rFonts w:ascii="Arial" w:hAnsi="Arial" w:cs="Arial"/>
                <w:b/>
                <w:sz w:val="18"/>
                <w:szCs w:val="18"/>
              </w:rPr>
            </w:pPr>
            <w:r w:rsidRPr="00BC3709">
              <w:rPr>
                <w:rFonts w:ascii="Arial" w:hAnsi="Arial" w:cs="Arial"/>
                <w:b/>
                <w:sz w:val="18"/>
                <w:szCs w:val="18"/>
              </w:rPr>
              <w:t>Previous heart failure(%)</w:t>
            </w:r>
          </w:p>
          <w:p w:rsidR="000F5964" w:rsidRPr="00BC3709" w:rsidRDefault="000F5964" w:rsidP="007B0DD7">
            <w:pPr>
              <w:rPr>
                <w:rFonts w:ascii="Arial" w:hAnsi="Arial" w:cs="Arial"/>
                <w:b/>
                <w:sz w:val="18"/>
                <w:szCs w:val="18"/>
              </w:rPr>
            </w:pPr>
            <w:r w:rsidRPr="00BC3709">
              <w:rPr>
                <w:rFonts w:ascii="Arial" w:hAnsi="Arial" w:cs="Arial"/>
                <w:b/>
                <w:sz w:val="18"/>
                <w:szCs w:val="18"/>
              </w:rPr>
              <w:t>Previous TIA/stroke(%)</w:t>
            </w:r>
          </w:p>
          <w:p w:rsidR="000F5964" w:rsidRPr="00BC3709" w:rsidRDefault="000F5964" w:rsidP="007B0DD7">
            <w:pPr>
              <w:rPr>
                <w:rFonts w:ascii="Arial" w:hAnsi="Arial" w:cs="Arial"/>
                <w:b/>
                <w:sz w:val="18"/>
                <w:szCs w:val="18"/>
              </w:rPr>
            </w:pPr>
            <w:r w:rsidRPr="00BC3709">
              <w:rPr>
                <w:rFonts w:ascii="Arial" w:hAnsi="Arial" w:cs="Arial"/>
                <w:b/>
                <w:sz w:val="18"/>
                <w:szCs w:val="18"/>
              </w:rPr>
              <w:t>History of PCI or CABG(%):</w:t>
            </w:r>
          </w:p>
          <w:p w:rsidR="000F5964" w:rsidRPr="00BC3709" w:rsidRDefault="000F5964" w:rsidP="007B0DD7">
            <w:pPr>
              <w:rPr>
                <w:rFonts w:ascii="Arial" w:hAnsi="Arial" w:cs="Arial"/>
                <w:b/>
                <w:sz w:val="18"/>
                <w:szCs w:val="18"/>
              </w:rPr>
            </w:pPr>
            <w:r w:rsidRPr="00BC3709">
              <w:rPr>
                <w:rFonts w:ascii="Arial" w:hAnsi="Arial" w:cs="Arial"/>
                <w:b/>
                <w:sz w:val="18"/>
                <w:szCs w:val="18"/>
              </w:rPr>
              <w:t>Stable angina(%)</w:t>
            </w:r>
          </w:p>
          <w:p w:rsidR="000F5964" w:rsidRPr="00BC3709" w:rsidRDefault="000F5964" w:rsidP="007B0DD7">
            <w:pPr>
              <w:rPr>
                <w:rFonts w:ascii="Arial" w:hAnsi="Arial" w:cs="Arial"/>
                <w:b/>
                <w:sz w:val="18"/>
                <w:szCs w:val="18"/>
              </w:rPr>
            </w:pPr>
            <w:r w:rsidRPr="00BC3709">
              <w:rPr>
                <w:rFonts w:ascii="Arial" w:hAnsi="Arial" w:cs="Arial"/>
                <w:b/>
                <w:sz w:val="18"/>
                <w:szCs w:val="18"/>
              </w:rPr>
              <w:t>Unstable angina(%)</w:t>
            </w:r>
          </w:p>
          <w:p w:rsidR="000F5964" w:rsidRPr="00BC3709" w:rsidRDefault="000F5964" w:rsidP="007B0DD7">
            <w:pPr>
              <w:rPr>
                <w:rFonts w:ascii="Arial" w:hAnsi="Arial" w:cs="Arial"/>
                <w:b/>
                <w:sz w:val="18"/>
                <w:szCs w:val="18"/>
              </w:rPr>
            </w:pPr>
            <w:r w:rsidRPr="00BC3709">
              <w:rPr>
                <w:rFonts w:ascii="Arial" w:hAnsi="Arial" w:cs="Arial"/>
                <w:b/>
                <w:sz w:val="18"/>
                <w:szCs w:val="18"/>
              </w:rPr>
              <w:t>Previous PAD(%)</w:t>
            </w:r>
          </w:p>
          <w:p w:rsidR="000F5964" w:rsidRPr="00BC3709" w:rsidRDefault="000F5964" w:rsidP="007B0DD7">
            <w:pPr>
              <w:rPr>
                <w:rFonts w:ascii="Arial" w:hAnsi="Arial" w:cs="Arial"/>
                <w:b/>
                <w:sz w:val="18"/>
                <w:szCs w:val="18"/>
              </w:rPr>
            </w:pPr>
            <w:r w:rsidRPr="00BC3709">
              <w:rPr>
                <w:rFonts w:ascii="Arial" w:hAnsi="Arial" w:cs="Arial"/>
                <w:b/>
                <w:sz w:val="18"/>
                <w:szCs w:val="18"/>
              </w:rPr>
              <w:t>History of MI(%)</w:t>
            </w:r>
          </w:p>
          <w:p w:rsidR="000F5964" w:rsidRPr="00BC3709" w:rsidRDefault="000F5964" w:rsidP="007B0DD7">
            <w:pPr>
              <w:rPr>
                <w:rFonts w:ascii="Arial" w:hAnsi="Arial" w:cs="Arial"/>
                <w:b/>
                <w:sz w:val="18"/>
                <w:szCs w:val="18"/>
              </w:rPr>
            </w:pPr>
            <w:r w:rsidRPr="00BC3709">
              <w:rPr>
                <w:rFonts w:ascii="Arial" w:hAnsi="Arial" w:cs="Arial"/>
                <w:b/>
                <w:sz w:val="18"/>
                <w:szCs w:val="18"/>
              </w:rPr>
              <w:t>STEMI/non-STEMI(%)</w:t>
            </w:r>
          </w:p>
        </w:tc>
        <w:tc>
          <w:tcPr>
            <w:tcW w:w="2179"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Dyslipidemia (%)</w:t>
            </w:r>
          </w:p>
          <w:p w:rsidR="000F5964" w:rsidRPr="00BC3709" w:rsidRDefault="000F5964" w:rsidP="007B0DD7">
            <w:pPr>
              <w:rPr>
                <w:rFonts w:ascii="Arial" w:hAnsi="Arial" w:cs="Arial"/>
                <w:b/>
                <w:sz w:val="18"/>
                <w:szCs w:val="18"/>
              </w:rPr>
            </w:pPr>
            <w:r w:rsidRPr="00BC3709">
              <w:rPr>
                <w:rFonts w:ascii="Arial" w:hAnsi="Arial" w:cs="Arial"/>
                <w:b/>
                <w:sz w:val="18"/>
                <w:szCs w:val="18"/>
              </w:rPr>
              <w:t>Smokers (%)</w:t>
            </w:r>
          </w:p>
          <w:p w:rsidR="000F5964" w:rsidRPr="00BC3709" w:rsidRDefault="000F5964" w:rsidP="007B0DD7">
            <w:pPr>
              <w:rPr>
                <w:rFonts w:ascii="Arial" w:hAnsi="Arial" w:cs="Arial"/>
                <w:b/>
                <w:sz w:val="18"/>
                <w:szCs w:val="18"/>
              </w:rPr>
            </w:pPr>
            <w:r w:rsidRPr="00BC3709">
              <w:rPr>
                <w:rFonts w:ascii="Arial" w:hAnsi="Arial" w:cs="Arial"/>
                <w:b/>
                <w:sz w:val="18"/>
                <w:szCs w:val="18"/>
              </w:rPr>
              <w:t xml:space="preserve">BP(mmHg diastolic/systolic </w:t>
            </w:r>
          </w:p>
          <w:p w:rsidR="000F5964" w:rsidRPr="00BC3709" w:rsidRDefault="000F5964" w:rsidP="007B0DD7">
            <w:pPr>
              <w:rPr>
                <w:rFonts w:ascii="Arial" w:hAnsi="Arial" w:cs="Arial"/>
                <w:b/>
                <w:sz w:val="18"/>
                <w:szCs w:val="18"/>
              </w:rPr>
            </w:pPr>
            <w:r w:rsidRPr="00BC3709">
              <w:rPr>
                <w:rFonts w:ascii="Arial" w:hAnsi="Arial" w:cs="Arial"/>
                <w:b/>
                <w:sz w:val="18"/>
                <w:szCs w:val="18"/>
              </w:rPr>
              <w:t>HTN (%)</w:t>
            </w:r>
          </w:p>
          <w:p w:rsidR="000F5964" w:rsidRPr="00BC3709" w:rsidRDefault="000F5964" w:rsidP="007B0DD7">
            <w:pPr>
              <w:rPr>
                <w:rFonts w:ascii="Arial" w:hAnsi="Arial" w:cs="Arial"/>
                <w:b/>
                <w:sz w:val="18"/>
                <w:szCs w:val="18"/>
              </w:rPr>
            </w:pPr>
            <w:r w:rsidRPr="00BC3709">
              <w:rPr>
                <w:rFonts w:ascii="Arial" w:hAnsi="Arial" w:cs="Arial"/>
                <w:b/>
                <w:sz w:val="18"/>
                <w:szCs w:val="18"/>
              </w:rPr>
              <w:t>Diabetes (%)</w:t>
            </w:r>
          </w:p>
          <w:p w:rsidR="000F5964" w:rsidRPr="00BC3709" w:rsidRDefault="000F5964" w:rsidP="007B0DD7">
            <w:pPr>
              <w:rPr>
                <w:rFonts w:ascii="Arial" w:hAnsi="Arial" w:cs="Arial"/>
                <w:b/>
                <w:sz w:val="18"/>
                <w:szCs w:val="18"/>
              </w:rPr>
            </w:pPr>
          </w:p>
        </w:tc>
        <w:tc>
          <w:tcPr>
            <w:tcW w:w="1946"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Vitamin K antagonist(%)</w:t>
            </w:r>
          </w:p>
          <w:p w:rsidR="000F5964" w:rsidRPr="00BC3709" w:rsidRDefault="000F5964" w:rsidP="007B0DD7">
            <w:pPr>
              <w:rPr>
                <w:rFonts w:ascii="Arial" w:hAnsi="Arial" w:cs="Arial"/>
                <w:b/>
                <w:sz w:val="18"/>
                <w:szCs w:val="18"/>
              </w:rPr>
            </w:pPr>
            <w:r w:rsidRPr="00BC3709">
              <w:rPr>
                <w:rFonts w:ascii="Arial" w:hAnsi="Arial" w:cs="Arial"/>
                <w:b/>
                <w:sz w:val="18"/>
                <w:szCs w:val="18"/>
              </w:rPr>
              <w:t>Clopidogrel(%)</w:t>
            </w:r>
          </w:p>
          <w:p w:rsidR="000F5964" w:rsidRPr="00BC3709" w:rsidRDefault="000F5964" w:rsidP="007B0DD7">
            <w:pPr>
              <w:rPr>
                <w:rFonts w:ascii="Arial" w:hAnsi="Arial" w:cs="Arial"/>
                <w:b/>
                <w:sz w:val="18"/>
                <w:szCs w:val="18"/>
              </w:rPr>
            </w:pPr>
            <w:r w:rsidRPr="00BC3709">
              <w:rPr>
                <w:rFonts w:ascii="Arial" w:hAnsi="Arial" w:cs="Arial"/>
                <w:b/>
                <w:sz w:val="18"/>
                <w:szCs w:val="18"/>
              </w:rPr>
              <w:t>Aspirin(%)</w:t>
            </w:r>
          </w:p>
          <w:p w:rsidR="000F5964" w:rsidRPr="00BC3709" w:rsidRDefault="000F5964" w:rsidP="007B0DD7">
            <w:pPr>
              <w:rPr>
                <w:rFonts w:ascii="Arial" w:hAnsi="Arial" w:cs="Arial"/>
                <w:b/>
                <w:sz w:val="18"/>
                <w:szCs w:val="18"/>
              </w:rPr>
            </w:pPr>
            <w:r w:rsidRPr="00BC3709">
              <w:rPr>
                <w:rFonts w:ascii="Arial" w:hAnsi="Arial" w:cs="Arial"/>
                <w:b/>
                <w:sz w:val="18"/>
                <w:szCs w:val="18"/>
              </w:rPr>
              <w:t>PPI(%)</w:t>
            </w:r>
          </w:p>
          <w:p w:rsidR="000F5964" w:rsidRPr="00BC3709" w:rsidRDefault="000F5964" w:rsidP="007B0DD7">
            <w:pPr>
              <w:rPr>
                <w:rFonts w:ascii="Arial" w:hAnsi="Arial" w:cs="Arial"/>
                <w:b/>
                <w:sz w:val="18"/>
                <w:szCs w:val="18"/>
              </w:rPr>
            </w:pPr>
          </w:p>
        </w:tc>
        <w:tc>
          <w:tcPr>
            <w:tcW w:w="2608" w:type="dxa"/>
            <w:shd w:val="clear" w:color="auto" w:fill="auto"/>
          </w:tcPr>
          <w:p w:rsidR="000F5964" w:rsidRPr="00BC3709" w:rsidRDefault="000F5964" w:rsidP="007B0DD7">
            <w:pPr>
              <w:rPr>
                <w:rFonts w:ascii="Arial" w:hAnsi="Arial" w:cs="Arial"/>
                <w:b/>
                <w:sz w:val="18"/>
                <w:szCs w:val="18"/>
              </w:rPr>
            </w:pPr>
            <w:r w:rsidRPr="00BC3709">
              <w:rPr>
                <w:rFonts w:ascii="Arial" w:hAnsi="Arial" w:cs="Arial"/>
                <w:b/>
                <w:sz w:val="18"/>
                <w:szCs w:val="18"/>
              </w:rPr>
              <w:t>Stent implantation(%)</w:t>
            </w:r>
          </w:p>
          <w:p w:rsidR="000F5964" w:rsidRPr="00BC3709" w:rsidRDefault="000F5964" w:rsidP="007B0DD7">
            <w:pPr>
              <w:rPr>
                <w:rFonts w:ascii="Arial" w:hAnsi="Arial" w:cs="Arial"/>
                <w:b/>
                <w:sz w:val="18"/>
                <w:szCs w:val="18"/>
              </w:rPr>
            </w:pPr>
            <w:r w:rsidRPr="00BC3709">
              <w:rPr>
                <w:rFonts w:ascii="Arial" w:hAnsi="Arial" w:cs="Arial"/>
                <w:b/>
                <w:sz w:val="18"/>
                <w:szCs w:val="18"/>
              </w:rPr>
              <w:t>Type of stent(%)</w:t>
            </w:r>
          </w:p>
          <w:p w:rsidR="000F5964" w:rsidRPr="00BC3709" w:rsidRDefault="000F5964" w:rsidP="007B0DD7">
            <w:pPr>
              <w:rPr>
                <w:rFonts w:ascii="Arial" w:hAnsi="Arial" w:cs="Arial"/>
                <w:b/>
                <w:sz w:val="18"/>
                <w:szCs w:val="18"/>
              </w:rPr>
            </w:pPr>
            <w:r w:rsidRPr="00BC3709">
              <w:rPr>
                <w:rFonts w:ascii="Arial" w:hAnsi="Arial" w:cs="Arial"/>
                <w:b/>
                <w:sz w:val="18"/>
                <w:szCs w:val="18"/>
              </w:rPr>
              <w:t xml:space="preserve">Multi-or single vessel(%) </w:t>
            </w:r>
          </w:p>
          <w:p w:rsidR="000F5964" w:rsidRPr="00BC3709" w:rsidRDefault="000F5964" w:rsidP="007B0DD7">
            <w:pPr>
              <w:rPr>
                <w:rFonts w:ascii="Arial" w:hAnsi="Arial" w:cs="Arial"/>
                <w:b/>
                <w:sz w:val="18"/>
                <w:szCs w:val="18"/>
              </w:rPr>
            </w:pPr>
          </w:p>
        </w:tc>
        <w:tc>
          <w:tcPr>
            <w:tcW w:w="1436" w:type="dxa"/>
            <w:shd w:val="clear" w:color="auto" w:fill="auto"/>
          </w:tcPr>
          <w:p w:rsidR="000F5964" w:rsidRPr="00BC3709" w:rsidRDefault="000F5964" w:rsidP="007B0DD7">
            <w:pPr>
              <w:rPr>
                <w:rFonts w:ascii="Arial" w:hAnsi="Arial" w:cs="Arial"/>
                <w:b/>
                <w:sz w:val="18"/>
                <w:szCs w:val="18"/>
              </w:rPr>
            </w:pPr>
          </w:p>
        </w:tc>
        <w:tc>
          <w:tcPr>
            <w:tcW w:w="1436" w:type="dxa"/>
            <w:shd w:val="clear" w:color="auto" w:fill="auto"/>
          </w:tcPr>
          <w:p w:rsidR="000F5964" w:rsidRPr="00BC3709" w:rsidRDefault="000F5964" w:rsidP="007B0DD7">
            <w:pPr>
              <w:rPr>
                <w:rFonts w:ascii="Arial" w:hAnsi="Arial" w:cs="Arial"/>
                <w:b/>
                <w:sz w:val="18"/>
                <w:szCs w:val="18"/>
              </w:rPr>
            </w:pPr>
          </w:p>
        </w:tc>
        <w:tc>
          <w:tcPr>
            <w:tcW w:w="1877" w:type="dxa"/>
            <w:shd w:val="clear" w:color="auto" w:fill="auto"/>
          </w:tcPr>
          <w:p w:rsidR="000F5964" w:rsidRPr="00BC3709" w:rsidRDefault="000F5964" w:rsidP="007B0DD7">
            <w:pPr>
              <w:rPr>
                <w:rFonts w:ascii="Arial" w:hAnsi="Arial" w:cs="Arial"/>
                <w:b/>
                <w:sz w:val="18"/>
                <w:szCs w:val="18"/>
              </w:rPr>
            </w:pPr>
          </w:p>
        </w:tc>
      </w:tr>
      <w:tr w:rsidR="000F5964" w:rsidRPr="0003666F" w:rsidTr="007B0DD7">
        <w:trPr>
          <w:cantSplit/>
        </w:trPr>
        <w:tc>
          <w:tcPr>
            <w:tcW w:w="1678" w:type="dxa"/>
            <w:shd w:val="clear" w:color="auto" w:fill="auto"/>
          </w:tcPr>
          <w:p w:rsidR="000F5964" w:rsidRDefault="000F5964" w:rsidP="007B0DD7">
            <w:pPr>
              <w:rPr>
                <w:rFonts w:ascii="Arial" w:hAnsi="Arial" w:cs="Arial"/>
                <w:sz w:val="18"/>
                <w:szCs w:val="18"/>
                <w:lang w:val="es-ES_tradnl"/>
              </w:rPr>
            </w:pPr>
            <w:r w:rsidRPr="00BC3709">
              <w:rPr>
                <w:rFonts w:ascii="Arial" w:hAnsi="Arial" w:cs="Arial"/>
                <w:sz w:val="18"/>
                <w:szCs w:val="18"/>
                <w:lang w:val="es-ES_tradnl"/>
              </w:rPr>
              <w:t>Siller-Matula,</w:t>
            </w:r>
            <w:r>
              <w:rPr>
                <w:rFonts w:ascii="Arial" w:hAnsi="Arial" w:cs="Arial"/>
                <w:sz w:val="18"/>
                <w:szCs w:val="18"/>
                <w:lang w:val="es-ES_tradnl"/>
              </w:rPr>
              <w:t xml:space="preserve"> </w:t>
            </w:r>
            <w:r w:rsidRPr="00BC3709">
              <w:rPr>
                <w:rFonts w:ascii="Arial" w:hAnsi="Arial" w:cs="Arial"/>
                <w:sz w:val="18"/>
                <w:szCs w:val="18"/>
                <w:lang w:val="es-ES_tradnl"/>
              </w:rPr>
              <w:t>2009</w:t>
            </w:r>
          </w:p>
          <w:p w:rsidR="000F5964" w:rsidRPr="00BC3709" w:rsidRDefault="000F5964" w:rsidP="007B0DD7">
            <w:pPr>
              <w:rPr>
                <w:rFonts w:ascii="Arial" w:hAnsi="Arial" w:cs="Arial"/>
                <w:sz w:val="18"/>
                <w:szCs w:val="18"/>
              </w:rPr>
            </w:pPr>
            <w:r w:rsidRPr="00BC3709">
              <w:rPr>
                <w:rFonts w:ascii="Arial" w:hAnsi="Arial" w:cs="Arial"/>
                <w:sz w:val="18"/>
                <w:szCs w:val="18"/>
              </w:rPr>
              <w:t>19135705</w:t>
            </w:r>
          </w:p>
          <w:p w:rsidR="000F5964" w:rsidRPr="00BC3709" w:rsidRDefault="000F5964" w:rsidP="007B0DD7">
            <w:pPr>
              <w:rPr>
                <w:rFonts w:ascii="Arial" w:hAnsi="Arial" w:cs="Arial"/>
                <w:sz w:val="18"/>
                <w:szCs w:val="18"/>
              </w:rPr>
            </w:pPr>
            <w:r w:rsidRPr="00BC3709">
              <w:rPr>
                <w:rFonts w:ascii="Arial" w:hAnsi="Arial" w:cs="Arial"/>
                <w:sz w:val="18"/>
                <w:szCs w:val="18"/>
              </w:rPr>
              <w:t>Austria</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4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30</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84</w:t>
            </w:r>
          </w:p>
          <w:p w:rsidR="000F5964" w:rsidRPr="00BC3709" w:rsidRDefault="000F5964" w:rsidP="007B0DD7">
            <w:pPr>
              <w:rPr>
                <w:rFonts w:ascii="Arial" w:hAnsi="Arial" w:cs="Arial"/>
                <w:sz w:val="18"/>
                <w:szCs w:val="18"/>
              </w:rPr>
            </w:pPr>
            <w:r w:rsidRPr="00BC3709">
              <w:rPr>
                <w:rFonts w:ascii="Arial" w:hAnsi="Arial" w:cs="Arial"/>
                <w:sz w:val="18"/>
                <w:szCs w:val="18"/>
              </w:rPr>
              <w:t>63±10</w:t>
            </w:r>
          </w:p>
          <w:p w:rsidR="000F5964" w:rsidRPr="00BC3709" w:rsidRDefault="000F5964" w:rsidP="007B0DD7">
            <w:pPr>
              <w:rPr>
                <w:rFonts w:ascii="Arial" w:hAnsi="Arial" w:cs="Arial"/>
                <w:sz w:val="18"/>
                <w:szCs w:val="18"/>
              </w:rPr>
            </w:pPr>
          </w:p>
        </w:tc>
        <w:tc>
          <w:tcPr>
            <w:tcW w:w="2696"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100</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CVD 7</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PCI 43</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10</w:t>
            </w:r>
          </w:p>
          <w:p w:rsidR="000F5964" w:rsidRPr="00BC3709" w:rsidRDefault="000F5964" w:rsidP="007B0DD7">
            <w:pPr>
              <w:rPr>
                <w:rFonts w:ascii="Arial" w:hAnsi="Arial" w:cs="Arial"/>
                <w:sz w:val="18"/>
                <w:szCs w:val="18"/>
              </w:rPr>
            </w:pPr>
            <w:r w:rsidRPr="00BC3709">
              <w:rPr>
                <w:rFonts w:ascii="Arial" w:hAnsi="Arial" w:cs="Arial"/>
                <w:sz w:val="18"/>
                <w:szCs w:val="18"/>
              </w:rPr>
              <w:t>37</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7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 77</w:t>
            </w:r>
          </w:p>
          <w:p w:rsidR="000F5964" w:rsidRPr="00BC3709" w:rsidRDefault="000F5964" w:rsidP="007B0DD7">
            <w:pPr>
              <w:rPr>
                <w:rFonts w:ascii="Arial" w:hAnsi="Arial" w:cs="Arial"/>
                <w:sz w:val="18"/>
                <w:szCs w:val="18"/>
              </w:rPr>
            </w:pPr>
            <w:r w:rsidRPr="00BC3709">
              <w:rPr>
                <w:rFonts w:ascii="Arial" w:hAnsi="Arial" w:cs="Arial"/>
                <w:sz w:val="18"/>
                <w:szCs w:val="18"/>
              </w:rPr>
              <w:t>57</w:t>
            </w:r>
          </w:p>
          <w:p w:rsidR="000F5964" w:rsidRPr="00BC3709" w:rsidRDefault="000F5964" w:rsidP="007B0DD7">
            <w:pPr>
              <w:rPr>
                <w:rFonts w:ascii="Arial" w:hAnsi="Arial" w:cs="Arial"/>
                <w:sz w:val="18"/>
                <w:szCs w:val="18"/>
              </w:rPr>
            </w:pPr>
            <w:r w:rsidRPr="00BC3709">
              <w:rPr>
                <w:rFonts w:ascii="Arial" w:hAnsi="Arial" w:cs="Arial"/>
                <w:sz w:val="18"/>
                <w:szCs w:val="18"/>
              </w:rPr>
              <w:t>HTN 77</w:t>
            </w:r>
          </w:p>
          <w:p w:rsidR="000F5964" w:rsidRPr="00BC3709" w:rsidRDefault="000F5964" w:rsidP="007B0DD7">
            <w:pPr>
              <w:rPr>
                <w:rFonts w:ascii="Arial" w:hAnsi="Arial" w:cs="Arial"/>
                <w:sz w:val="18"/>
                <w:szCs w:val="18"/>
              </w:rPr>
            </w:pPr>
            <w:r w:rsidRPr="00BC3709">
              <w:rPr>
                <w:rFonts w:ascii="Arial" w:hAnsi="Arial" w:cs="Arial"/>
                <w:sz w:val="18"/>
                <w:szCs w:val="18"/>
              </w:rPr>
              <w:t>33</w:t>
            </w:r>
          </w:p>
          <w:p w:rsidR="000F5964" w:rsidRPr="00BC3709" w:rsidRDefault="000F5964" w:rsidP="007B0DD7">
            <w:pPr>
              <w:rPr>
                <w:rFonts w:ascii="Arial" w:hAnsi="Arial" w:cs="Arial"/>
                <w:sz w:val="18"/>
                <w:szCs w:val="18"/>
              </w:rPr>
            </w:pPr>
          </w:p>
          <w:p w:rsidR="000F5964" w:rsidRPr="00BC3709" w:rsidRDefault="000F5964" w:rsidP="007B0DD7">
            <w:pPr>
              <w:rPr>
                <w:rFonts w:ascii="Arial" w:hAnsi="Arial" w:cs="Arial"/>
                <w:sz w:val="18"/>
                <w:szCs w:val="18"/>
              </w:rPr>
            </w:pPr>
          </w:p>
        </w:tc>
        <w:tc>
          <w:tcPr>
            <w:tcW w:w="194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p>
        </w:tc>
        <w:tc>
          <w:tcPr>
            <w:tcW w:w="2608"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not used</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 xml:space="preserve">Patients had been on chronic aspirin (100 mg/day) and clopidogrel (75 mg/day) treatment for three months on average. </w:t>
            </w:r>
          </w:p>
        </w:tc>
        <w:tc>
          <w:tcPr>
            <w:tcW w:w="187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 xml:space="preserve">All patients received unfractionated heparin and 250 mg of injectable acetyl-salicylic acid during PCI </w:t>
            </w:r>
          </w:p>
        </w:tc>
      </w:tr>
      <w:tr w:rsidR="000F5964" w:rsidRPr="0003666F" w:rsidTr="007B0DD7">
        <w:trPr>
          <w:cantSplit/>
        </w:trPr>
        <w:tc>
          <w:tcPr>
            <w:tcW w:w="1678"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Ko, 2011</w:t>
            </w:r>
          </w:p>
          <w:p w:rsidR="000F5964" w:rsidRPr="00BC3709" w:rsidRDefault="000F5964" w:rsidP="007B0DD7">
            <w:pPr>
              <w:rPr>
                <w:rFonts w:ascii="Arial" w:hAnsi="Arial" w:cs="Arial"/>
                <w:sz w:val="18"/>
                <w:szCs w:val="18"/>
              </w:rPr>
            </w:pPr>
            <w:r w:rsidRPr="00BC3709">
              <w:rPr>
                <w:rFonts w:ascii="Arial" w:hAnsi="Arial" w:cs="Arial"/>
                <w:sz w:val="18"/>
                <w:szCs w:val="18"/>
              </w:rPr>
              <w:t>21315223</w:t>
            </w:r>
          </w:p>
          <w:p w:rsidR="000F5964" w:rsidRPr="00BC3709" w:rsidRDefault="000F5964" w:rsidP="007B0DD7">
            <w:pPr>
              <w:rPr>
                <w:rFonts w:ascii="Arial" w:hAnsi="Arial" w:cs="Arial"/>
                <w:sz w:val="18"/>
                <w:szCs w:val="18"/>
              </w:rPr>
            </w:pPr>
            <w:r w:rsidRPr="00BC3709">
              <w:rPr>
                <w:rFonts w:ascii="Arial" w:hAnsi="Arial" w:cs="Arial"/>
                <w:sz w:val="18"/>
                <w:szCs w:val="18"/>
              </w:rPr>
              <w:t>Korea</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p>
        </w:tc>
        <w:tc>
          <w:tcPr>
            <w:tcW w:w="164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222</w:t>
            </w:r>
          </w:p>
          <w:p w:rsidR="000F5964" w:rsidRPr="00BC3709" w:rsidRDefault="000F5964" w:rsidP="007B0DD7">
            <w:pPr>
              <w:rPr>
                <w:rFonts w:ascii="Arial" w:hAnsi="Arial" w:cs="Arial"/>
                <w:sz w:val="18"/>
                <w:szCs w:val="18"/>
              </w:rPr>
            </w:pPr>
            <w:r w:rsidRPr="00BC3709">
              <w:rPr>
                <w:rFonts w:ascii="Arial" w:hAnsi="Arial" w:cs="Arial"/>
                <w:sz w:val="18"/>
                <w:szCs w:val="18"/>
              </w:rPr>
              <w:t xml:space="preserve">?Asian </w:t>
            </w:r>
          </w:p>
          <w:p w:rsidR="000F5964" w:rsidRPr="00BC3709" w:rsidRDefault="000F5964" w:rsidP="007B0DD7">
            <w:pPr>
              <w:rPr>
                <w:rFonts w:ascii="Arial" w:hAnsi="Arial" w:cs="Arial"/>
                <w:sz w:val="18"/>
                <w:szCs w:val="18"/>
              </w:rPr>
            </w:pPr>
            <w:r w:rsidRPr="00BC3709">
              <w:rPr>
                <w:rFonts w:ascii="Arial" w:hAnsi="Arial" w:cs="Arial"/>
                <w:sz w:val="18"/>
                <w:szCs w:val="18"/>
              </w:rPr>
              <w:t>152 (69)</w:t>
            </w:r>
          </w:p>
          <w:p w:rsidR="000F5964" w:rsidRPr="00BC3709" w:rsidRDefault="000F5964" w:rsidP="007B0DD7">
            <w:pPr>
              <w:rPr>
                <w:rFonts w:ascii="Arial" w:hAnsi="Arial" w:cs="Arial"/>
                <w:sz w:val="18"/>
                <w:szCs w:val="18"/>
              </w:rPr>
            </w:pPr>
            <w:r w:rsidRPr="00BC3709">
              <w:rPr>
                <w:rFonts w:ascii="Arial" w:hAnsi="Arial" w:cs="Arial"/>
                <w:sz w:val="18"/>
                <w:szCs w:val="18"/>
              </w:rPr>
              <w:t>63.3 ± 10</w:t>
            </w:r>
          </w:p>
        </w:tc>
        <w:tc>
          <w:tcPr>
            <w:tcW w:w="2696"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100</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CVA: 14.9</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PCI: 37 (16.7); CABG: 1 (0.5)</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5.9</w:t>
            </w:r>
          </w:p>
          <w:p w:rsidR="000F5964" w:rsidRPr="00BC3709" w:rsidRDefault="000F5964" w:rsidP="007B0DD7">
            <w:pPr>
              <w:rPr>
                <w:rFonts w:ascii="Arial" w:hAnsi="Arial" w:cs="Arial"/>
                <w:sz w:val="18"/>
                <w:szCs w:val="18"/>
              </w:rPr>
            </w:pPr>
            <w:r w:rsidRPr="00BC3709">
              <w:rPr>
                <w:rFonts w:ascii="Arial" w:hAnsi="Arial" w:cs="Arial"/>
                <w:sz w:val="18"/>
                <w:szCs w:val="18"/>
              </w:rPr>
              <w:t>NSTEMI: 10.1</w:t>
            </w:r>
          </w:p>
        </w:tc>
        <w:tc>
          <w:tcPr>
            <w:tcW w:w="217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Hypercholesterolemia: 46.8</w:t>
            </w:r>
            <w:r w:rsidRPr="00BC3709">
              <w:rPr>
                <w:rFonts w:ascii="Arial" w:hAnsi="Arial" w:cs="Arial"/>
                <w:sz w:val="18"/>
                <w:szCs w:val="18"/>
              </w:rPr>
              <w:br/>
              <w:t>Current: 12.2</w:t>
            </w:r>
            <w:r w:rsidRPr="00BC3709">
              <w:rPr>
                <w:rFonts w:ascii="Arial" w:hAnsi="Arial" w:cs="Arial"/>
                <w:sz w:val="18"/>
                <w:szCs w:val="18"/>
              </w:rPr>
              <w:br/>
              <w:t>HTN: 72.1</w:t>
            </w:r>
            <w:r w:rsidRPr="00BC3709">
              <w:rPr>
                <w:rFonts w:ascii="Arial" w:hAnsi="Arial" w:cs="Arial"/>
                <w:sz w:val="18"/>
                <w:szCs w:val="18"/>
              </w:rPr>
              <w:br/>
              <w:t>32</w:t>
            </w:r>
          </w:p>
          <w:p w:rsidR="000F5964" w:rsidRPr="00BC3709" w:rsidRDefault="000F5964" w:rsidP="007B0DD7">
            <w:pPr>
              <w:rPr>
                <w:rFonts w:ascii="Arial" w:hAnsi="Arial" w:cs="Arial"/>
                <w:sz w:val="18"/>
                <w:szCs w:val="18"/>
              </w:rPr>
            </w:pPr>
          </w:p>
        </w:tc>
        <w:tc>
          <w:tcPr>
            <w:tcW w:w="194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r w:rsidRPr="00BC3709">
              <w:rPr>
                <w:rFonts w:ascii="Arial" w:hAnsi="Arial" w:cs="Arial"/>
                <w:sz w:val="18"/>
                <w:szCs w:val="18"/>
              </w:rPr>
              <w:br/>
              <w:t>72.1</w:t>
            </w:r>
            <w:r w:rsidRPr="00BC3709">
              <w:rPr>
                <w:rFonts w:ascii="Arial" w:hAnsi="Arial" w:cs="Arial"/>
                <w:sz w:val="18"/>
                <w:szCs w:val="18"/>
              </w:rPr>
              <w:br/>
              <w:t>89.6</w:t>
            </w:r>
            <w:r w:rsidRPr="00BC3709">
              <w:rPr>
                <w:rFonts w:ascii="Arial" w:hAnsi="Arial" w:cs="Arial"/>
                <w:sz w:val="18"/>
                <w:szCs w:val="18"/>
              </w:rPr>
              <w:br/>
              <w:t>NR</w:t>
            </w:r>
          </w:p>
          <w:p w:rsidR="000F5964" w:rsidRPr="00BC3709" w:rsidRDefault="000F5964" w:rsidP="007B0DD7">
            <w:pPr>
              <w:rPr>
                <w:rFonts w:ascii="Arial" w:hAnsi="Arial" w:cs="Arial"/>
                <w:sz w:val="18"/>
                <w:szCs w:val="18"/>
              </w:rPr>
            </w:pPr>
          </w:p>
        </w:tc>
        <w:tc>
          <w:tcPr>
            <w:tcW w:w="2608"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100</w:t>
            </w:r>
            <w:r w:rsidRPr="00BC3709">
              <w:rPr>
                <w:rFonts w:ascii="Arial" w:hAnsi="Arial" w:cs="Arial"/>
                <w:sz w:val="18"/>
                <w:szCs w:val="18"/>
              </w:rPr>
              <w:br/>
            </w:r>
            <w:r w:rsidRPr="00BC3709">
              <w:rPr>
                <w:rFonts w:ascii="Arial" w:hAnsi="Arial" w:cs="Arial"/>
                <w:sz w:val="18"/>
                <w:szCs w:val="18"/>
              </w:rPr>
              <w:br/>
              <w:t>Drug eluting</w:t>
            </w:r>
            <w:r w:rsidRPr="00BC3709">
              <w:rPr>
                <w:rFonts w:ascii="Arial" w:hAnsi="Arial" w:cs="Arial"/>
                <w:sz w:val="18"/>
                <w:szCs w:val="18"/>
              </w:rPr>
              <w:br/>
            </w:r>
            <w:r w:rsidRPr="00BC3709">
              <w:rPr>
                <w:rFonts w:ascii="Arial" w:hAnsi="Arial" w:cs="Arial"/>
                <w:sz w:val="18"/>
                <w:szCs w:val="18"/>
              </w:rPr>
              <w:br/>
              <w:t>Multi-vessel; Stents/pt: 1.8±1</w:t>
            </w:r>
          </w:p>
          <w:p w:rsidR="000F5964" w:rsidRPr="00BC3709" w:rsidRDefault="000F5964" w:rsidP="007B0DD7">
            <w:pPr>
              <w:rPr>
                <w:rFonts w:ascii="Arial" w:hAnsi="Arial" w:cs="Arial"/>
                <w:sz w:val="18"/>
                <w:szCs w:val="18"/>
              </w:rPr>
            </w:pP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Patients undergoing percutaneous coronary intervention (PCI) for CAD</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All patients were pretreated with aspirin (100 mg/d) and clopidogrel (75 mg/d) at least 5 days before PCI or received oral loading doses of 250 mg aspirin and 300 mg clopidogrel 12 to 24 hours before PCI.</w:t>
            </w:r>
          </w:p>
          <w:p w:rsidR="000F5964" w:rsidRPr="00BC3709" w:rsidRDefault="000F5964" w:rsidP="007B0DD7">
            <w:pPr>
              <w:rPr>
                <w:rFonts w:ascii="Arial" w:hAnsi="Arial" w:cs="Arial"/>
                <w:sz w:val="18"/>
                <w:szCs w:val="18"/>
              </w:rPr>
            </w:pPr>
            <w:r w:rsidRPr="00BC3709">
              <w:rPr>
                <w:rFonts w:ascii="Arial" w:hAnsi="Arial" w:cs="Arial"/>
                <w:sz w:val="18"/>
                <w:szCs w:val="18"/>
              </w:rPr>
              <w:t>Maintenance doses of 100 mg aspirin and 75 mg clopidogrel after PCI</w:t>
            </w:r>
          </w:p>
          <w:p w:rsidR="000F5964" w:rsidRPr="00BC3709" w:rsidRDefault="000F5964" w:rsidP="007B0DD7">
            <w:pPr>
              <w:rPr>
                <w:rFonts w:ascii="Arial" w:hAnsi="Arial" w:cs="Arial"/>
                <w:sz w:val="18"/>
                <w:szCs w:val="18"/>
              </w:rPr>
            </w:pPr>
            <w:r w:rsidRPr="00BC3709">
              <w:rPr>
                <w:rFonts w:ascii="Arial" w:hAnsi="Arial" w:cs="Arial"/>
                <w:sz w:val="18"/>
                <w:szCs w:val="18"/>
              </w:rPr>
              <w:t>After PCI, dual antiplatelet therapy with 100 mg/d aspirin and 75 mg/d clopidogrel was continued for at least 6 months</w:t>
            </w:r>
          </w:p>
        </w:tc>
        <w:tc>
          <w:tcPr>
            <w:tcW w:w="187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tc>
      </w:tr>
      <w:tr w:rsidR="000F5964" w:rsidRPr="0003666F" w:rsidTr="007B0DD7">
        <w:trPr>
          <w:cantSplit/>
        </w:trPr>
        <w:tc>
          <w:tcPr>
            <w:tcW w:w="1678"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Sibbing, 2010</w:t>
            </w:r>
          </w:p>
          <w:p w:rsidR="000F5964" w:rsidRPr="00BC3709" w:rsidRDefault="000F5964" w:rsidP="007B0DD7">
            <w:pPr>
              <w:rPr>
                <w:rFonts w:ascii="Arial" w:hAnsi="Arial" w:cs="Arial"/>
                <w:sz w:val="18"/>
                <w:szCs w:val="18"/>
              </w:rPr>
            </w:pPr>
            <w:r w:rsidRPr="00BC3709">
              <w:rPr>
                <w:rFonts w:ascii="Arial" w:hAnsi="Arial" w:cs="Arial"/>
                <w:sz w:val="18"/>
                <w:szCs w:val="18"/>
              </w:rPr>
              <w:t>19943882</w:t>
            </w:r>
          </w:p>
          <w:p w:rsidR="000F5964" w:rsidRPr="00BC3709" w:rsidRDefault="000F5964" w:rsidP="007B0DD7">
            <w:pPr>
              <w:rPr>
                <w:rFonts w:ascii="Arial" w:hAnsi="Arial" w:cs="Arial"/>
                <w:sz w:val="18"/>
                <w:szCs w:val="18"/>
              </w:rPr>
            </w:pPr>
          </w:p>
          <w:p w:rsidR="000F5964" w:rsidRDefault="000F5964" w:rsidP="007B0DD7">
            <w:pPr>
              <w:rPr>
                <w:rFonts w:ascii="Arial" w:hAnsi="Arial" w:cs="Arial"/>
                <w:sz w:val="18"/>
                <w:szCs w:val="18"/>
              </w:rPr>
            </w:pPr>
            <w:r w:rsidRPr="00BC3709">
              <w:rPr>
                <w:rFonts w:ascii="Arial" w:hAnsi="Arial" w:cs="Arial"/>
                <w:sz w:val="18"/>
                <w:szCs w:val="18"/>
              </w:rPr>
              <w:t>Sibbing, 2010</w:t>
            </w:r>
          </w:p>
          <w:p w:rsidR="000F5964" w:rsidRPr="00BC3709" w:rsidRDefault="000F5964" w:rsidP="007B0DD7">
            <w:pPr>
              <w:rPr>
                <w:rFonts w:ascii="Arial" w:hAnsi="Arial" w:cs="Arial"/>
                <w:sz w:val="18"/>
                <w:szCs w:val="18"/>
              </w:rPr>
            </w:pPr>
            <w:r w:rsidRPr="00BC3709">
              <w:rPr>
                <w:rFonts w:ascii="Arial" w:hAnsi="Arial" w:cs="Arial"/>
                <w:sz w:val="18"/>
                <w:szCs w:val="18"/>
              </w:rPr>
              <w:t>20633826</w:t>
            </w:r>
          </w:p>
          <w:p w:rsidR="000F5964" w:rsidRPr="00BC3709" w:rsidRDefault="000F5964" w:rsidP="007B0DD7">
            <w:pPr>
              <w:rPr>
                <w:rFonts w:ascii="Arial" w:hAnsi="Arial" w:cs="Arial"/>
                <w:sz w:val="18"/>
                <w:szCs w:val="18"/>
              </w:rPr>
            </w:pPr>
            <w:r w:rsidRPr="00BC3709">
              <w:rPr>
                <w:rFonts w:ascii="Arial" w:hAnsi="Arial" w:cs="Arial"/>
                <w:sz w:val="18"/>
                <w:szCs w:val="18"/>
              </w:rPr>
              <w:t>Germany</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4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2533</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2034 (80.3%)</w:t>
            </w:r>
            <w:r w:rsidRPr="00BC3709">
              <w:rPr>
                <w:rFonts w:ascii="Arial" w:hAnsi="Arial" w:cs="Arial"/>
                <w:sz w:val="18"/>
                <w:szCs w:val="18"/>
              </w:rPr>
              <w:br/>
            </w:r>
            <w:r w:rsidRPr="00BC3709">
              <w:rPr>
                <w:rFonts w:ascii="Arial" w:hAnsi="Arial" w:cs="Arial"/>
                <w:sz w:val="18"/>
                <w:szCs w:val="18"/>
              </w:rPr>
              <w:br/>
              <w:t>mean: 67.8</w:t>
            </w:r>
          </w:p>
          <w:p w:rsidR="000F5964" w:rsidRPr="00BC3709" w:rsidRDefault="000F5964" w:rsidP="007B0DD7">
            <w:pPr>
              <w:rPr>
                <w:rFonts w:ascii="Arial" w:hAnsi="Arial" w:cs="Arial"/>
                <w:sz w:val="18"/>
                <w:szCs w:val="18"/>
              </w:rPr>
            </w:pPr>
          </w:p>
        </w:tc>
        <w:tc>
          <w:tcPr>
            <w:tcW w:w="269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CABG: 14.3%</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31.4</w:t>
            </w:r>
          </w:p>
          <w:p w:rsidR="000F5964" w:rsidRPr="00BC3709" w:rsidRDefault="000F5964" w:rsidP="007B0DD7">
            <w:pPr>
              <w:rPr>
                <w:rFonts w:ascii="Arial" w:hAnsi="Arial" w:cs="Arial"/>
                <w:sz w:val="18"/>
                <w:szCs w:val="18"/>
              </w:rPr>
            </w:pPr>
            <w:r w:rsidRPr="00BC3709">
              <w:rPr>
                <w:rFonts w:ascii="Arial" w:hAnsi="Arial" w:cs="Arial"/>
                <w:sz w:val="18"/>
                <w:szCs w:val="18"/>
              </w:rPr>
              <w:t>NSTEMI/STEMI: 14.5%</w:t>
            </w:r>
          </w:p>
        </w:tc>
        <w:tc>
          <w:tcPr>
            <w:tcW w:w="217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Hypercholesterolemia: 68.4%</w:t>
            </w:r>
          </w:p>
          <w:p w:rsidR="000F5964" w:rsidRPr="00BC3709" w:rsidRDefault="000F5964" w:rsidP="007B0DD7">
            <w:pPr>
              <w:rPr>
                <w:rFonts w:ascii="Arial" w:hAnsi="Arial" w:cs="Arial"/>
                <w:sz w:val="18"/>
                <w:szCs w:val="18"/>
              </w:rPr>
            </w:pPr>
            <w:r w:rsidRPr="00BC3709">
              <w:rPr>
                <w:rFonts w:ascii="Arial" w:hAnsi="Arial" w:cs="Arial"/>
                <w:sz w:val="18"/>
                <w:szCs w:val="18"/>
              </w:rPr>
              <w:t>Active: 13.2%</w:t>
            </w:r>
          </w:p>
          <w:p w:rsidR="000F5964" w:rsidRPr="00BC3709" w:rsidRDefault="000F5964" w:rsidP="007B0DD7">
            <w:pPr>
              <w:rPr>
                <w:rFonts w:ascii="Arial" w:hAnsi="Arial" w:cs="Arial"/>
                <w:sz w:val="18"/>
                <w:szCs w:val="18"/>
              </w:rPr>
            </w:pPr>
            <w:r w:rsidRPr="00BC3709">
              <w:rPr>
                <w:rFonts w:ascii="Arial" w:hAnsi="Arial" w:cs="Arial"/>
                <w:sz w:val="18"/>
                <w:szCs w:val="18"/>
              </w:rPr>
              <w:t>Arterial HTN:90.6%</w:t>
            </w:r>
          </w:p>
          <w:p w:rsidR="000F5964" w:rsidRPr="00BC3709" w:rsidRDefault="000F5964" w:rsidP="007B0DD7">
            <w:pPr>
              <w:rPr>
                <w:rFonts w:ascii="Arial" w:hAnsi="Arial" w:cs="Arial"/>
                <w:sz w:val="18"/>
                <w:szCs w:val="18"/>
              </w:rPr>
            </w:pPr>
            <w:r w:rsidRPr="00BC3709">
              <w:rPr>
                <w:rFonts w:ascii="Arial" w:hAnsi="Arial" w:cs="Arial"/>
                <w:sz w:val="18"/>
                <w:szCs w:val="18"/>
              </w:rPr>
              <w:t>28.6%</w:t>
            </w:r>
          </w:p>
        </w:tc>
        <w:tc>
          <w:tcPr>
            <w:tcW w:w="194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10.9%</w:t>
            </w:r>
          </w:p>
          <w:p w:rsidR="000F5964" w:rsidRPr="00BC3709" w:rsidRDefault="000F5964" w:rsidP="007B0DD7">
            <w:pPr>
              <w:rPr>
                <w:rFonts w:ascii="Arial" w:hAnsi="Arial" w:cs="Arial"/>
                <w:sz w:val="18"/>
                <w:szCs w:val="18"/>
              </w:rPr>
            </w:pPr>
            <w:r w:rsidRPr="00BC3709">
              <w:rPr>
                <w:rFonts w:ascii="Arial" w:hAnsi="Arial" w:cs="Arial"/>
                <w:sz w:val="18"/>
                <w:szCs w:val="18"/>
              </w:rPr>
              <w:t>Thienopyridine: 41.3%</w:t>
            </w:r>
          </w:p>
          <w:p w:rsidR="000F5964" w:rsidRPr="00BC3709" w:rsidRDefault="000F5964" w:rsidP="007B0DD7">
            <w:pPr>
              <w:rPr>
                <w:rFonts w:ascii="Arial" w:hAnsi="Arial" w:cs="Arial"/>
                <w:sz w:val="18"/>
                <w:szCs w:val="18"/>
              </w:rPr>
            </w:pPr>
            <w:r w:rsidRPr="00BC3709">
              <w:rPr>
                <w:rFonts w:ascii="Arial" w:hAnsi="Arial" w:cs="Arial"/>
                <w:sz w:val="18"/>
                <w:szCs w:val="18"/>
              </w:rPr>
              <w:t>74.3</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608"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Stents per lesion: 1.3; Lesions per patient: 1.9</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Multivessel disease: 85.5%</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Patients undergoing PCI with stenting for ACS and CAD</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Clopidogrel: 600 mg LD + 150 mg/day clopidogrel for 3 days + 75 mg/day clopidogrel MD</w:t>
            </w:r>
          </w:p>
          <w:p w:rsidR="000F5964" w:rsidRPr="00BC3709" w:rsidRDefault="000F5964" w:rsidP="007B0DD7">
            <w:pPr>
              <w:rPr>
                <w:rFonts w:ascii="Arial" w:hAnsi="Arial" w:cs="Arial"/>
                <w:sz w:val="18"/>
                <w:szCs w:val="18"/>
              </w:rPr>
            </w:pPr>
            <w:r w:rsidRPr="00BC3709">
              <w:rPr>
                <w:rFonts w:ascii="Arial" w:hAnsi="Arial" w:cs="Arial"/>
                <w:sz w:val="18"/>
                <w:szCs w:val="18"/>
              </w:rPr>
              <w:t>Aspirin: 500 mg IV LD + 100 mg aspirin (twice per day) MD</w:t>
            </w:r>
          </w:p>
        </w:tc>
        <w:tc>
          <w:tcPr>
            <w:tcW w:w="187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Intravenous anticoagulant: unfractionated heparin or bivalirudin (140 U/kg body weight for unfractionated heparin and for bivalirudin with a dosing regimen of 0.75 mg/kg body weight for bivalirudin before PCI, followed by an infusion of 1.75 mg/kg/h bivalirudin for the procedure); Some pts received glycoprotein IIb/IIIa inhibitor abciximab (0.25 mg/kg of body weight bolus, followed by a 0.125 μg/kg/min infusion for 12 h) with reduced heparin dose</w:t>
            </w:r>
          </w:p>
        </w:tc>
      </w:tr>
      <w:tr w:rsidR="000F5964" w:rsidRPr="0003666F" w:rsidTr="007B0DD7">
        <w:trPr>
          <w:cantSplit/>
        </w:trPr>
        <w:tc>
          <w:tcPr>
            <w:tcW w:w="1678"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Sibbing, 2009</w:t>
            </w:r>
          </w:p>
          <w:p w:rsidR="000F5964" w:rsidRPr="00BC3709" w:rsidRDefault="000F5964" w:rsidP="007B0DD7">
            <w:pPr>
              <w:rPr>
                <w:rFonts w:ascii="Arial" w:hAnsi="Arial" w:cs="Arial"/>
                <w:sz w:val="18"/>
                <w:szCs w:val="18"/>
              </w:rPr>
            </w:pPr>
            <w:r w:rsidRPr="00BC3709">
              <w:rPr>
                <w:rFonts w:ascii="Arial" w:hAnsi="Arial" w:cs="Arial"/>
                <w:sz w:val="18"/>
                <w:szCs w:val="18"/>
              </w:rPr>
              <w:t xml:space="preserve">19264241 </w:t>
            </w:r>
          </w:p>
          <w:p w:rsidR="000F5964" w:rsidRPr="00BC3709" w:rsidRDefault="000F5964" w:rsidP="007B0DD7">
            <w:pPr>
              <w:rPr>
                <w:rFonts w:ascii="Arial" w:hAnsi="Arial" w:cs="Arial"/>
                <w:sz w:val="18"/>
                <w:szCs w:val="18"/>
              </w:rPr>
            </w:pPr>
          </w:p>
          <w:p w:rsidR="000F5964" w:rsidRDefault="000F5964" w:rsidP="007B0DD7">
            <w:pPr>
              <w:rPr>
                <w:rFonts w:ascii="Arial" w:hAnsi="Arial" w:cs="Arial"/>
                <w:sz w:val="18"/>
                <w:szCs w:val="18"/>
              </w:rPr>
            </w:pPr>
            <w:r w:rsidRPr="00BC3709">
              <w:rPr>
                <w:rFonts w:ascii="Arial" w:hAnsi="Arial" w:cs="Arial"/>
                <w:sz w:val="18"/>
                <w:szCs w:val="18"/>
              </w:rPr>
              <w:t>Sibbing, 2010</w:t>
            </w:r>
          </w:p>
          <w:p w:rsidR="000F5964" w:rsidRPr="00BC3709" w:rsidRDefault="000F5964" w:rsidP="007B0DD7">
            <w:pPr>
              <w:rPr>
                <w:rFonts w:ascii="Arial" w:hAnsi="Arial" w:cs="Arial"/>
                <w:sz w:val="18"/>
                <w:szCs w:val="18"/>
              </w:rPr>
            </w:pPr>
            <w:r w:rsidRPr="00BC3709">
              <w:rPr>
                <w:rFonts w:ascii="Arial" w:hAnsi="Arial" w:cs="Arial"/>
                <w:sz w:val="18"/>
                <w:szCs w:val="18"/>
              </w:rPr>
              <w:t>20062919</w:t>
            </w:r>
          </w:p>
          <w:p w:rsidR="000F5964" w:rsidRPr="00BC3709" w:rsidRDefault="000F5964" w:rsidP="007B0DD7">
            <w:pPr>
              <w:rPr>
                <w:rFonts w:ascii="Arial" w:hAnsi="Arial" w:cs="Arial"/>
                <w:sz w:val="18"/>
                <w:szCs w:val="18"/>
              </w:rPr>
            </w:pPr>
            <w:r w:rsidRPr="00BC3709">
              <w:rPr>
                <w:rFonts w:ascii="Arial" w:hAnsi="Arial" w:cs="Arial"/>
                <w:sz w:val="18"/>
                <w:szCs w:val="18"/>
              </w:rPr>
              <w:t>Germany</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4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1608</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1234 (77%)</w:t>
            </w:r>
          </w:p>
          <w:p w:rsidR="000F5964" w:rsidRPr="00BC3709" w:rsidRDefault="000F5964" w:rsidP="007B0DD7">
            <w:pPr>
              <w:rPr>
                <w:rFonts w:ascii="Arial" w:hAnsi="Arial" w:cs="Arial"/>
                <w:sz w:val="18"/>
                <w:szCs w:val="18"/>
              </w:rPr>
            </w:pPr>
            <w:r w:rsidRPr="00BC3709">
              <w:rPr>
                <w:rFonts w:ascii="Arial" w:hAnsi="Arial" w:cs="Arial"/>
                <w:sz w:val="18"/>
                <w:szCs w:val="18"/>
              </w:rPr>
              <w:t>67.5±40.5</w:t>
            </w:r>
          </w:p>
        </w:tc>
        <w:tc>
          <w:tcPr>
            <w:tcW w:w="269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CABG: 14%</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32</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7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Hypercholesterolemia: 70%</w:t>
            </w:r>
            <w:r w:rsidRPr="00BC3709">
              <w:rPr>
                <w:rFonts w:ascii="Arial" w:hAnsi="Arial" w:cs="Arial"/>
                <w:sz w:val="18"/>
                <w:szCs w:val="18"/>
              </w:rPr>
              <w:br/>
            </w:r>
            <w:r w:rsidRPr="00BC3709">
              <w:rPr>
                <w:rFonts w:ascii="Arial" w:hAnsi="Arial" w:cs="Arial"/>
                <w:sz w:val="18"/>
                <w:szCs w:val="18"/>
              </w:rPr>
              <w:br/>
              <w:t>Active: 13%</w:t>
            </w:r>
            <w:r w:rsidRPr="00BC3709">
              <w:rPr>
                <w:rFonts w:ascii="Arial" w:hAnsi="Arial" w:cs="Arial"/>
                <w:sz w:val="18"/>
                <w:szCs w:val="18"/>
              </w:rPr>
              <w:br/>
            </w:r>
            <w:r w:rsidRPr="00BC3709">
              <w:rPr>
                <w:rFonts w:ascii="Arial" w:hAnsi="Arial" w:cs="Arial"/>
                <w:sz w:val="18"/>
                <w:szCs w:val="18"/>
              </w:rPr>
              <w:br/>
              <w:t>HTN: 91.6%</w:t>
            </w:r>
            <w:r w:rsidRPr="00BC3709">
              <w:rPr>
                <w:rFonts w:ascii="Arial" w:hAnsi="Arial" w:cs="Arial"/>
                <w:sz w:val="18"/>
                <w:szCs w:val="18"/>
              </w:rPr>
              <w:br/>
            </w:r>
            <w:r w:rsidRPr="00BC3709">
              <w:rPr>
                <w:rFonts w:ascii="Arial" w:hAnsi="Arial" w:cs="Arial"/>
                <w:sz w:val="18"/>
                <w:szCs w:val="18"/>
              </w:rPr>
              <w:br/>
              <w:t>29</w:t>
            </w:r>
          </w:p>
          <w:p w:rsidR="000F5964" w:rsidRPr="00BC3709" w:rsidRDefault="000F5964" w:rsidP="007B0DD7">
            <w:pPr>
              <w:rPr>
                <w:rFonts w:ascii="Arial" w:hAnsi="Arial" w:cs="Arial"/>
                <w:sz w:val="18"/>
                <w:szCs w:val="18"/>
              </w:rPr>
            </w:pPr>
          </w:p>
        </w:tc>
        <w:tc>
          <w:tcPr>
            <w:tcW w:w="194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99.1</w:t>
            </w:r>
            <w:r w:rsidRPr="00BC3709">
              <w:rPr>
                <w:rFonts w:ascii="Arial" w:hAnsi="Arial" w:cs="Arial"/>
                <w:sz w:val="18"/>
                <w:szCs w:val="18"/>
              </w:rPr>
              <w:br/>
            </w:r>
            <w:r w:rsidRPr="00BC3709">
              <w:rPr>
                <w:rFonts w:ascii="Arial" w:hAnsi="Arial" w:cs="Arial"/>
                <w:sz w:val="18"/>
                <w:szCs w:val="18"/>
              </w:rPr>
              <w:br/>
              <w:t>NR</w:t>
            </w:r>
          </w:p>
          <w:p w:rsidR="000F5964" w:rsidRPr="00BC3709" w:rsidRDefault="000F5964" w:rsidP="007B0DD7">
            <w:pPr>
              <w:rPr>
                <w:rFonts w:ascii="Arial" w:hAnsi="Arial" w:cs="Arial"/>
                <w:sz w:val="18"/>
                <w:szCs w:val="18"/>
              </w:rPr>
            </w:pPr>
          </w:p>
        </w:tc>
        <w:tc>
          <w:tcPr>
            <w:tcW w:w="2608"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NR</w:t>
            </w:r>
          </w:p>
          <w:p w:rsidR="000F5964" w:rsidRPr="00BC3709" w:rsidRDefault="000F5964" w:rsidP="007B0DD7">
            <w:pPr>
              <w:rPr>
                <w:rFonts w:ascii="Arial" w:hAnsi="Arial" w:cs="Arial"/>
                <w:sz w:val="18"/>
                <w:szCs w:val="18"/>
              </w:rPr>
            </w:pP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Patients undergoing PCI with stenting for ACS and CAD</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Clopidogrel: 600 mg LD + 150 mg/day clopidogrel for 3 days + 75 mg/day clopidogrel MD</w:t>
            </w:r>
          </w:p>
          <w:p w:rsidR="000F5964" w:rsidRPr="00BC3709" w:rsidRDefault="000F5964" w:rsidP="007B0DD7">
            <w:pPr>
              <w:rPr>
                <w:rFonts w:ascii="Arial" w:hAnsi="Arial" w:cs="Arial"/>
                <w:sz w:val="18"/>
                <w:szCs w:val="18"/>
              </w:rPr>
            </w:pPr>
            <w:r w:rsidRPr="00BC3709">
              <w:rPr>
                <w:rFonts w:ascii="Arial" w:hAnsi="Arial" w:cs="Arial"/>
                <w:sz w:val="18"/>
                <w:szCs w:val="18"/>
              </w:rPr>
              <w:t>Aspirin: 500 mg IV LD + 100 mg aspirin (twice per day) MD</w:t>
            </w:r>
          </w:p>
          <w:p w:rsidR="000F5964" w:rsidRPr="00BC3709" w:rsidRDefault="000F5964" w:rsidP="007B0DD7">
            <w:pPr>
              <w:rPr>
                <w:rFonts w:ascii="Arial" w:hAnsi="Arial" w:cs="Arial"/>
                <w:sz w:val="18"/>
                <w:szCs w:val="18"/>
              </w:rPr>
            </w:pPr>
          </w:p>
        </w:tc>
        <w:tc>
          <w:tcPr>
            <w:tcW w:w="187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Intravenous anticoagulant: unfractionated heparin or bivalirudin (140 U/kg body weight for unfractionated heparin and for bivalirudin with a dosing regimen of 0.75 mg/kg body weight for bivalirudin before PCI, followed by an infusion of 1.75 mg/kg/h bivalirudin for the procedure); Some pts received glycoprotein IIb/IIIa inhibitor abciximab (0.25 mg/kg of body weight bolus, followed by a 0.125 μg/kg/min infusion for 12 h) with reduced heparin dose</w:t>
            </w:r>
          </w:p>
        </w:tc>
      </w:tr>
      <w:tr w:rsidR="000F5964" w:rsidRPr="0003666F" w:rsidTr="007B0DD7">
        <w:trPr>
          <w:cantSplit/>
        </w:trPr>
        <w:tc>
          <w:tcPr>
            <w:tcW w:w="1678"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Schulz, 2010</w:t>
            </w:r>
          </w:p>
          <w:p w:rsidR="000F5964" w:rsidRPr="00BC3709" w:rsidRDefault="000F5964" w:rsidP="007B0DD7">
            <w:pPr>
              <w:rPr>
                <w:rFonts w:ascii="Arial" w:hAnsi="Arial" w:cs="Arial"/>
                <w:sz w:val="18"/>
                <w:szCs w:val="18"/>
              </w:rPr>
            </w:pPr>
            <w:r w:rsidRPr="00BC3709">
              <w:rPr>
                <w:rFonts w:ascii="Arial" w:hAnsi="Arial" w:cs="Arial"/>
                <w:sz w:val="18"/>
                <w:szCs w:val="18"/>
              </w:rPr>
              <w:t>20691843</w:t>
            </w:r>
          </w:p>
          <w:p w:rsidR="000F5964" w:rsidRPr="00BC3709" w:rsidRDefault="000F5964" w:rsidP="007B0DD7">
            <w:pPr>
              <w:rPr>
                <w:rFonts w:ascii="Arial" w:hAnsi="Arial" w:cs="Arial"/>
                <w:sz w:val="18"/>
                <w:szCs w:val="18"/>
              </w:rPr>
            </w:pPr>
            <w:r w:rsidRPr="00BC3709">
              <w:rPr>
                <w:rFonts w:ascii="Arial" w:hAnsi="Arial" w:cs="Arial"/>
                <w:sz w:val="18"/>
                <w:szCs w:val="18"/>
              </w:rPr>
              <w:t>Germany</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4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1608</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1234 (76.7%)</w:t>
            </w:r>
            <w:r w:rsidRPr="00BC3709">
              <w:rPr>
                <w:rFonts w:ascii="Arial" w:hAnsi="Arial" w:cs="Arial"/>
                <w:sz w:val="18"/>
                <w:szCs w:val="18"/>
              </w:rPr>
              <w:br/>
            </w:r>
            <w:r w:rsidRPr="00BC3709">
              <w:rPr>
                <w:rFonts w:ascii="Arial" w:hAnsi="Arial" w:cs="Arial"/>
                <w:sz w:val="18"/>
                <w:szCs w:val="18"/>
              </w:rPr>
              <w:br/>
              <w:t>67.4</w:t>
            </w:r>
          </w:p>
          <w:p w:rsidR="000F5964" w:rsidRPr="00BC3709" w:rsidRDefault="000F5964" w:rsidP="007B0DD7">
            <w:pPr>
              <w:rPr>
                <w:rFonts w:ascii="Arial" w:hAnsi="Arial" w:cs="Arial"/>
                <w:sz w:val="18"/>
                <w:szCs w:val="18"/>
              </w:rPr>
            </w:pPr>
          </w:p>
        </w:tc>
        <w:tc>
          <w:tcPr>
            <w:tcW w:w="269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CABG: 14.4%</w:t>
            </w:r>
            <w:r w:rsidRPr="00BC3709">
              <w:rPr>
                <w:rFonts w:ascii="Arial" w:hAnsi="Arial" w:cs="Arial"/>
                <w:sz w:val="18"/>
                <w:szCs w:val="18"/>
              </w:rPr>
              <w:br/>
            </w:r>
            <w:r w:rsidRPr="00BC3709">
              <w:rPr>
                <w:rFonts w:ascii="Arial" w:hAnsi="Arial" w:cs="Arial"/>
                <w:sz w:val="18"/>
                <w:szCs w:val="18"/>
              </w:rPr>
              <w:br/>
              <w:t>66.9</w:t>
            </w:r>
            <w:r w:rsidRPr="00BC3709">
              <w:rPr>
                <w:rFonts w:ascii="Arial" w:hAnsi="Arial" w:cs="Arial"/>
                <w:sz w:val="18"/>
                <w:szCs w:val="18"/>
              </w:rPr>
              <w:br/>
            </w:r>
            <w:r w:rsidRPr="00BC3709">
              <w:rPr>
                <w:rFonts w:ascii="Arial" w:hAnsi="Arial" w:cs="Arial"/>
                <w:sz w:val="18"/>
                <w:szCs w:val="18"/>
              </w:rPr>
              <w:br/>
              <w:t>22.2</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31.5</w:t>
            </w:r>
            <w:r w:rsidRPr="00BC3709">
              <w:rPr>
                <w:rFonts w:ascii="Arial" w:hAnsi="Arial" w:cs="Arial"/>
                <w:sz w:val="18"/>
                <w:szCs w:val="18"/>
              </w:rPr>
              <w:br/>
            </w:r>
            <w:r w:rsidRPr="00BC3709">
              <w:rPr>
                <w:rFonts w:ascii="Arial" w:hAnsi="Arial" w:cs="Arial"/>
                <w:sz w:val="18"/>
                <w:szCs w:val="18"/>
              </w:rPr>
              <w:br/>
              <w:t>STEMI: 2.5%; NSTEMI: 8.4%</w:t>
            </w:r>
          </w:p>
          <w:p w:rsidR="000F5964" w:rsidRPr="00BC3709" w:rsidRDefault="000F5964" w:rsidP="007B0DD7">
            <w:pPr>
              <w:rPr>
                <w:rFonts w:ascii="Arial" w:hAnsi="Arial" w:cs="Arial"/>
                <w:sz w:val="18"/>
                <w:szCs w:val="18"/>
              </w:rPr>
            </w:pPr>
          </w:p>
        </w:tc>
        <w:tc>
          <w:tcPr>
            <w:tcW w:w="217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Hypercholesterolemia: 69.8%</w:t>
            </w:r>
            <w:r w:rsidRPr="00BC3709">
              <w:rPr>
                <w:rFonts w:ascii="Arial" w:hAnsi="Arial" w:cs="Arial"/>
                <w:sz w:val="18"/>
                <w:szCs w:val="18"/>
              </w:rPr>
              <w:br/>
            </w:r>
            <w:r w:rsidRPr="00BC3709">
              <w:rPr>
                <w:rFonts w:ascii="Arial" w:hAnsi="Arial" w:cs="Arial"/>
                <w:sz w:val="18"/>
                <w:szCs w:val="18"/>
              </w:rPr>
              <w:br/>
              <w:t>Active: 13.4%</w:t>
            </w:r>
            <w:r w:rsidRPr="00BC3709">
              <w:rPr>
                <w:rFonts w:ascii="Arial" w:hAnsi="Arial" w:cs="Arial"/>
                <w:sz w:val="18"/>
                <w:szCs w:val="18"/>
              </w:rPr>
              <w:br/>
            </w:r>
            <w:r w:rsidRPr="00BC3709">
              <w:rPr>
                <w:rFonts w:ascii="Arial" w:hAnsi="Arial" w:cs="Arial"/>
                <w:sz w:val="18"/>
                <w:szCs w:val="18"/>
              </w:rPr>
              <w:br/>
              <w:t>HTN: 91%</w:t>
            </w:r>
            <w:r w:rsidRPr="00BC3709">
              <w:rPr>
                <w:rFonts w:ascii="Arial" w:hAnsi="Arial" w:cs="Arial"/>
                <w:sz w:val="18"/>
                <w:szCs w:val="18"/>
              </w:rPr>
              <w:br/>
            </w:r>
            <w:r w:rsidRPr="00BC3709">
              <w:rPr>
                <w:rFonts w:ascii="Arial" w:hAnsi="Arial" w:cs="Arial"/>
                <w:sz w:val="18"/>
                <w:szCs w:val="18"/>
              </w:rPr>
              <w:br/>
              <w:t>28.7</w:t>
            </w:r>
          </w:p>
          <w:p w:rsidR="000F5964" w:rsidRPr="00BC3709" w:rsidRDefault="000F5964" w:rsidP="007B0DD7">
            <w:pPr>
              <w:rPr>
                <w:rFonts w:ascii="Arial" w:hAnsi="Arial" w:cs="Arial"/>
                <w:sz w:val="18"/>
                <w:szCs w:val="18"/>
              </w:rPr>
            </w:pPr>
          </w:p>
        </w:tc>
        <w:tc>
          <w:tcPr>
            <w:tcW w:w="194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NR</w:t>
            </w:r>
            <w:r w:rsidRPr="00BC3709">
              <w:rPr>
                <w:rFonts w:ascii="Arial" w:hAnsi="Arial" w:cs="Arial"/>
                <w:sz w:val="18"/>
                <w:szCs w:val="18"/>
              </w:rPr>
              <w:br/>
            </w:r>
            <w:r w:rsidRPr="00BC3709">
              <w:rPr>
                <w:rFonts w:ascii="Arial" w:hAnsi="Arial" w:cs="Arial"/>
                <w:sz w:val="18"/>
                <w:szCs w:val="18"/>
              </w:rPr>
              <w:br/>
              <w:t>NR</w:t>
            </w:r>
          </w:p>
          <w:p w:rsidR="000F5964" w:rsidRPr="00BC3709" w:rsidRDefault="000F5964" w:rsidP="007B0DD7">
            <w:pPr>
              <w:rPr>
                <w:rFonts w:ascii="Arial" w:hAnsi="Arial" w:cs="Arial"/>
                <w:sz w:val="18"/>
                <w:szCs w:val="18"/>
              </w:rPr>
            </w:pPr>
          </w:p>
        </w:tc>
        <w:tc>
          <w:tcPr>
            <w:tcW w:w="2608"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94.8%</w:t>
            </w:r>
            <w:r w:rsidRPr="00BC3709">
              <w:rPr>
                <w:rFonts w:ascii="Arial" w:hAnsi="Arial" w:cs="Arial"/>
                <w:sz w:val="18"/>
                <w:szCs w:val="18"/>
              </w:rPr>
              <w:br/>
            </w:r>
            <w:r w:rsidRPr="00BC3709">
              <w:rPr>
                <w:rFonts w:ascii="Arial" w:hAnsi="Arial" w:cs="Arial"/>
                <w:sz w:val="18"/>
                <w:szCs w:val="18"/>
              </w:rPr>
              <w:br/>
              <w:t>BMS: 2.2%; DES: 92.6%</w:t>
            </w:r>
            <w:r w:rsidRPr="00BC3709">
              <w:rPr>
                <w:rFonts w:ascii="Arial" w:hAnsi="Arial" w:cs="Arial"/>
                <w:sz w:val="18"/>
                <w:szCs w:val="18"/>
              </w:rPr>
              <w:br/>
            </w:r>
            <w:r w:rsidRPr="00BC3709">
              <w:rPr>
                <w:rFonts w:ascii="Arial" w:hAnsi="Arial" w:cs="Arial"/>
                <w:sz w:val="18"/>
                <w:szCs w:val="18"/>
              </w:rPr>
              <w:br/>
              <w:t>Multivessel: 85.1%</w:t>
            </w:r>
          </w:p>
          <w:p w:rsidR="000F5964" w:rsidRPr="00BC3709" w:rsidRDefault="000F5964" w:rsidP="007B0DD7">
            <w:pPr>
              <w:rPr>
                <w:rFonts w:ascii="Arial" w:hAnsi="Arial" w:cs="Arial"/>
                <w:sz w:val="18"/>
                <w:szCs w:val="18"/>
              </w:rPr>
            </w:pP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patients undergoing PCI</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600 mg clopidogrel before PCI and 500 mg aspirin LD directly before the intervention;</w:t>
            </w:r>
          </w:p>
          <w:p w:rsidR="000F5964" w:rsidRPr="00BC3709" w:rsidRDefault="000F5964" w:rsidP="007B0DD7">
            <w:pPr>
              <w:rPr>
                <w:rFonts w:ascii="Arial" w:hAnsi="Arial" w:cs="Arial"/>
                <w:sz w:val="18"/>
                <w:szCs w:val="18"/>
              </w:rPr>
            </w:pPr>
            <w:r w:rsidRPr="00BC3709">
              <w:rPr>
                <w:rFonts w:ascii="Arial" w:hAnsi="Arial" w:cs="Arial"/>
                <w:sz w:val="18"/>
                <w:szCs w:val="18"/>
              </w:rPr>
              <w:t>Postinterventional therapy : clopidogrel 75 mg twice daily for 3 days, then 75 mg per day for 6 months with aspirin 100 mg twice daily</w:t>
            </w:r>
          </w:p>
        </w:tc>
        <w:tc>
          <w:tcPr>
            <w:tcW w:w="187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Periprocedural therapy: unfractionated heparin (as a bolus of 140 U/kg bodyweight) or bivalirudin (0.75 mg per kg bodyweight bolus, followed by an infusion of 1.75 mg per kg bodyweight per hour for the duration of the procedure) or abciximab (0.25-mg/kg bodyweight bolus, followed by an infusion of 0.125 μg/kg bodyweight per min for 12 hours) along with 70 U/kg bo</w:t>
            </w:r>
            <w:r>
              <w:rPr>
                <w:rFonts w:ascii="Arial" w:hAnsi="Arial" w:cs="Arial"/>
                <w:sz w:val="18"/>
                <w:szCs w:val="18"/>
              </w:rPr>
              <w:t>dyweight unfractionated heparin</w:t>
            </w:r>
          </w:p>
        </w:tc>
      </w:tr>
      <w:tr w:rsidR="000F5964" w:rsidRPr="0003666F" w:rsidTr="007B0DD7">
        <w:trPr>
          <w:cantSplit/>
        </w:trPr>
        <w:tc>
          <w:tcPr>
            <w:tcW w:w="1678"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Freynhofer, 2011</w:t>
            </w:r>
          </w:p>
          <w:p w:rsidR="000F5964" w:rsidRPr="00BC3709" w:rsidRDefault="000F5964" w:rsidP="007B0DD7">
            <w:pPr>
              <w:rPr>
                <w:rFonts w:ascii="Arial" w:hAnsi="Arial" w:cs="Arial"/>
                <w:sz w:val="18"/>
                <w:szCs w:val="18"/>
              </w:rPr>
            </w:pPr>
            <w:r w:rsidRPr="00BC3709">
              <w:rPr>
                <w:rFonts w:ascii="Arial" w:hAnsi="Arial" w:cs="Arial"/>
                <w:sz w:val="18"/>
                <w:szCs w:val="18"/>
              </w:rPr>
              <w:t>21614416</w:t>
            </w:r>
          </w:p>
          <w:p w:rsidR="000F5964" w:rsidRPr="00BC3709" w:rsidRDefault="000F5964" w:rsidP="007B0DD7">
            <w:pPr>
              <w:rPr>
                <w:rFonts w:ascii="Arial" w:hAnsi="Arial" w:cs="Arial"/>
                <w:sz w:val="18"/>
                <w:szCs w:val="18"/>
              </w:rPr>
            </w:pPr>
            <w:r w:rsidRPr="00BC3709">
              <w:rPr>
                <w:rFonts w:ascii="Arial" w:hAnsi="Arial" w:cs="Arial"/>
                <w:sz w:val="18"/>
                <w:szCs w:val="18"/>
              </w:rPr>
              <w:t>Austria</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4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300</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205</w:t>
            </w:r>
          </w:p>
          <w:p w:rsidR="000F5964" w:rsidRPr="00BC3709" w:rsidRDefault="000F5964" w:rsidP="007B0DD7">
            <w:pPr>
              <w:rPr>
                <w:rFonts w:ascii="Arial" w:hAnsi="Arial" w:cs="Arial"/>
                <w:sz w:val="18"/>
                <w:szCs w:val="18"/>
              </w:rPr>
            </w:pPr>
            <w:r w:rsidRPr="00BC3709">
              <w:rPr>
                <w:rFonts w:ascii="Arial" w:hAnsi="Arial" w:cs="Arial"/>
                <w:sz w:val="18"/>
                <w:szCs w:val="18"/>
              </w:rPr>
              <w:t>62±16</w:t>
            </w:r>
          </w:p>
        </w:tc>
        <w:tc>
          <w:tcPr>
            <w:tcW w:w="269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43.3</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PCI 24.3</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see UA/NSTEMI</w:t>
            </w:r>
          </w:p>
          <w:p w:rsidR="000F5964" w:rsidRPr="00BC3709" w:rsidRDefault="000F5964" w:rsidP="007B0DD7">
            <w:pPr>
              <w:rPr>
                <w:rFonts w:ascii="Arial" w:hAnsi="Arial" w:cs="Arial"/>
                <w:sz w:val="18"/>
                <w:szCs w:val="18"/>
              </w:rPr>
            </w:pPr>
            <w:r w:rsidRPr="00BC3709">
              <w:rPr>
                <w:rFonts w:ascii="Arial" w:hAnsi="Arial" w:cs="Arial"/>
                <w:sz w:val="18"/>
                <w:szCs w:val="18"/>
              </w:rPr>
              <w:t>10</w:t>
            </w:r>
          </w:p>
          <w:p w:rsidR="000F5964" w:rsidRPr="00BC3709" w:rsidRDefault="000F5964" w:rsidP="007B0DD7">
            <w:pPr>
              <w:rPr>
                <w:rFonts w:ascii="Arial" w:hAnsi="Arial" w:cs="Arial"/>
                <w:sz w:val="18"/>
                <w:szCs w:val="18"/>
              </w:rPr>
            </w:pPr>
            <w:r w:rsidRPr="00BC3709">
              <w:rPr>
                <w:rFonts w:ascii="Arial" w:hAnsi="Arial" w:cs="Arial"/>
                <w:sz w:val="18"/>
                <w:szCs w:val="18"/>
              </w:rPr>
              <w:t>22.7</w:t>
            </w:r>
          </w:p>
          <w:p w:rsidR="000F5964" w:rsidRPr="00BC3709" w:rsidRDefault="000F5964" w:rsidP="007B0DD7">
            <w:pPr>
              <w:rPr>
                <w:rFonts w:ascii="Arial" w:hAnsi="Arial" w:cs="Arial"/>
                <w:sz w:val="18"/>
                <w:szCs w:val="18"/>
              </w:rPr>
            </w:pPr>
            <w:r w:rsidRPr="00BC3709">
              <w:rPr>
                <w:rFonts w:ascii="Arial" w:hAnsi="Arial" w:cs="Arial"/>
                <w:sz w:val="18"/>
                <w:szCs w:val="18"/>
              </w:rPr>
              <w:t>29.7/34.3</w:t>
            </w:r>
          </w:p>
        </w:tc>
        <w:tc>
          <w:tcPr>
            <w:tcW w:w="217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 69.3</w:t>
            </w:r>
          </w:p>
          <w:p w:rsidR="000F5964" w:rsidRPr="00BC3709" w:rsidRDefault="000F5964" w:rsidP="007B0DD7">
            <w:pPr>
              <w:rPr>
                <w:rFonts w:ascii="Arial" w:hAnsi="Arial" w:cs="Arial"/>
                <w:sz w:val="18"/>
                <w:szCs w:val="18"/>
              </w:rPr>
            </w:pPr>
            <w:r w:rsidRPr="00BC3709">
              <w:rPr>
                <w:rFonts w:ascii="Arial" w:hAnsi="Arial" w:cs="Arial"/>
                <w:sz w:val="18"/>
                <w:szCs w:val="18"/>
              </w:rPr>
              <w:t>27.3</w:t>
            </w:r>
          </w:p>
          <w:p w:rsidR="000F5964" w:rsidRPr="00BC3709" w:rsidRDefault="000F5964" w:rsidP="007B0DD7">
            <w:pPr>
              <w:rPr>
                <w:rFonts w:ascii="Arial" w:hAnsi="Arial" w:cs="Arial"/>
                <w:sz w:val="18"/>
                <w:szCs w:val="18"/>
              </w:rPr>
            </w:pPr>
            <w:r w:rsidRPr="00BC3709">
              <w:rPr>
                <w:rFonts w:ascii="Arial" w:hAnsi="Arial" w:cs="Arial"/>
                <w:sz w:val="18"/>
                <w:szCs w:val="18"/>
              </w:rPr>
              <w:t>HTN 74.7</w:t>
            </w:r>
          </w:p>
          <w:p w:rsidR="000F5964" w:rsidRPr="00BC3709" w:rsidRDefault="000F5964" w:rsidP="007B0DD7">
            <w:pPr>
              <w:rPr>
                <w:rFonts w:ascii="Arial" w:hAnsi="Arial" w:cs="Arial"/>
                <w:sz w:val="18"/>
                <w:szCs w:val="18"/>
              </w:rPr>
            </w:pPr>
            <w:r w:rsidRPr="00BC3709">
              <w:rPr>
                <w:rFonts w:ascii="Arial" w:hAnsi="Arial" w:cs="Arial"/>
                <w:sz w:val="18"/>
                <w:szCs w:val="18"/>
              </w:rPr>
              <w:t>27.3</w:t>
            </w:r>
          </w:p>
          <w:p w:rsidR="000F5964" w:rsidRPr="00BC3709" w:rsidRDefault="000F5964" w:rsidP="007B0DD7">
            <w:pPr>
              <w:rPr>
                <w:rFonts w:ascii="Arial" w:hAnsi="Arial" w:cs="Arial"/>
                <w:sz w:val="18"/>
                <w:szCs w:val="18"/>
              </w:rPr>
            </w:pPr>
          </w:p>
        </w:tc>
        <w:tc>
          <w:tcPr>
            <w:tcW w:w="194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81.3</w:t>
            </w:r>
          </w:p>
          <w:p w:rsidR="000F5964" w:rsidRPr="00BC3709" w:rsidRDefault="000F5964" w:rsidP="007B0DD7">
            <w:pPr>
              <w:rPr>
                <w:rFonts w:ascii="Arial" w:hAnsi="Arial" w:cs="Arial"/>
                <w:sz w:val="18"/>
                <w:szCs w:val="18"/>
              </w:rPr>
            </w:pPr>
          </w:p>
        </w:tc>
        <w:tc>
          <w:tcPr>
            <w:tcW w:w="2608"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DES 65.3</w:t>
            </w:r>
          </w:p>
          <w:p w:rsidR="000F5964" w:rsidRPr="00BC3709" w:rsidRDefault="000F5964" w:rsidP="007B0DD7">
            <w:pPr>
              <w:rPr>
                <w:rFonts w:ascii="Arial" w:hAnsi="Arial" w:cs="Arial"/>
                <w:sz w:val="18"/>
                <w:szCs w:val="18"/>
              </w:rPr>
            </w:pPr>
            <w:r w:rsidRPr="00BC3709">
              <w:rPr>
                <w:rFonts w:ascii="Arial" w:hAnsi="Arial" w:cs="Arial"/>
                <w:sz w:val="18"/>
                <w:szCs w:val="18"/>
              </w:rPr>
              <w:t>multi-vessel 58.7</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and coronary stenting</w:t>
            </w:r>
          </w:p>
        </w:tc>
        <w:tc>
          <w:tcPr>
            <w:tcW w:w="1436"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 xml:space="preserve">Clopidogrel-naïve patients received a 300 or 600 mg loading dose (LD). Patients on chronic clopidogrel therapy with 75 mg clopidogrel of at least seven consecutive days did not receive an additional LD. </w:t>
            </w:r>
          </w:p>
        </w:tc>
        <w:tc>
          <w:tcPr>
            <w:tcW w:w="187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According to actual evidence, all patients received in parallel ASA (100 mg daily dose). The use of GP-IIb/IIIa-blockers during PCI as well as the choice of the anticoagulant depended on the individual situation and the thrombus load at angiography, and was left to the discretion of the operator</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lang w:val="es-ES_tradnl"/>
              </w:rPr>
            </w:pPr>
            <w:r w:rsidRPr="00BC3709">
              <w:rPr>
                <w:rFonts w:ascii="Arial" w:hAnsi="Arial" w:cs="Arial"/>
                <w:sz w:val="18"/>
                <w:szCs w:val="18"/>
                <w:lang w:val="es-ES_tradnl"/>
              </w:rPr>
              <w:lastRenderedPageBreak/>
              <w:t>Siller-Matula, 2010</w:t>
            </w:r>
          </w:p>
          <w:p w:rsidR="000F5964" w:rsidRPr="00BC3709" w:rsidRDefault="000F5964" w:rsidP="007B0DD7">
            <w:pPr>
              <w:rPr>
                <w:rFonts w:ascii="Arial" w:hAnsi="Arial" w:cs="Arial"/>
                <w:sz w:val="18"/>
                <w:szCs w:val="18"/>
              </w:rPr>
            </w:pPr>
            <w:r w:rsidRPr="00BC3709">
              <w:rPr>
                <w:rFonts w:ascii="Arial" w:hAnsi="Arial" w:cs="Arial"/>
                <w:sz w:val="18"/>
                <w:szCs w:val="18"/>
              </w:rPr>
              <w:t>19943879</w:t>
            </w:r>
          </w:p>
          <w:p w:rsidR="000F5964" w:rsidRPr="00BC3709" w:rsidRDefault="000F5964" w:rsidP="007B0DD7">
            <w:pPr>
              <w:rPr>
                <w:rFonts w:ascii="Arial" w:hAnsi="Arial" w:cs="Arial"/>
                <w:sz w:val="18"/>
                <w:szCs w:val="18"/>
              </w:rPr>
            </w:pPr>
            <w:r w:rsidRPr="00BC3709">
              <w:rPr>
                <w:rFonts w:ascii="Arial" w:hAnsi="Arial" w:cs="Arial"/>
                <w:sz w:val="18"/>
                <w:szCs w:val="18"/>
              </w:rPr>
              <w:t>Austria</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416</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76</w:t>
            </w:r>
          </w:p>
          <w:p w:rsidR="000F5964" w:rsidRPr="00BC3709" w:rsidRDefault="000F5964" w:rsidP="007B0DD7">
            <w:pPr>
              <w:rPr>
                <w:rFonts w:ascii="Arial" w:hAnsi="Arial" w:cs="Arial"/>
                <w:sz w:val="18"/>
                <w:szCs w:val="18"/>
              </w:rPr>
            </w:pPr>
            <w:r w:rsidRPr="00BC3709">
              <w:rPr>
                <w:rFonts w:ascii="Arial" w:hAnsi="Arial" w:cs="Arial"/>
                <w:sz w:val="18"/>
                <w:szCs w:val="18"/>
              </w:rPr>
              <w:t>64±12</w:t>
            </w:r>
          </w:p>
        </w:tc>
        <w:tc>
          <w:tcPr>
            <w:tcW w:w="2642"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47</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13</w:t>
            </w:r>
          </w:p>
          <w:p w:rsidR="000F5964" w:rsidRPr="00BC3709" w:rsidRDefault="000F5964" w:rsidP="007B0DD7">
            <w:pPr>
              <w:rPr>
                <w:rFonts w:ascii="Arial" w:hAnsi="Arial" w:cs="Arial"/>
                <w:sz w:val="18"/>
                <w:szCs w:val="18"/>
              </w:rPr>
            </w:pPr>
            <w:r w:rsidRPr="00BC3709">
              <w:rPr>
                <w:rFonts w:ascii="Arial" w:hAnsi="Arial" w:cs="Arial"/>
                <w:sz w:val="18"/>
                <w:szCs w:val="18"/>
              </w:rPr>
              <w:t>33</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 76</w:t>
            </w:r>
          </w:p>
          <w:p w:rsidR="000F5964" w:rsidRPr="00BC3709" w:rsidRDefault="000F5964" w:rsidP="007B0DD7">
            <w:pPr>
              <w:rPr>
                <w:rFonts w:ascii="Arial" w:hAnsi="Arial" w:cs="Arial"/>
                <w:sz w:val="18"/>
                <w:szCs w:val="18"/>
              </w:rPr>
            </w:pPr>
            <w:r w:rsidRPr="00BC3709">
              <w:rPr>
                <w:rFonts w:ascii="Arial" w:hAnsi="Arial" w:cs="Arial"/>
                <w:sz w:val="18"/>
                <w:szCs w:val="18"/>
              </w:rPr>
              <w:t>55</w:t>
            </w:r>
          </w:p>
          <w:p w:rsidR="000F5964" w:rsidRPr="00BC3709" w:rsidRDefault="000F5964" w:rsidP="007B0DD7">
            <w:pPr>
              <w:rPr>
                <w:rFonts w:ascii="Arial" w:hAnsi="Arial" w:cs="Arial"/>
                <w:sz w:val="18"/>
                <w:szCs w:val="18"/>
              </w:rPr>
            </w:pPr>
            <w:r w:rsidRPr="00BC3709">
              <w:rPr>
                <w:rFonts w:ascii="Arial" w:hAnsi="Arial" w:cs="Arial"/>
                <w:sz w:val="18"/>
                <w:szCs w:val="18"/>
              </w:rPr>
              <w:t>85</w:t>
            </w:r>
          </w:p>
          <w:p w:rsidR="000F5964" w:rsidRPr="00BC3709" w:rsidRDefault="000F5964" w:rsidP="007B0DD7">
            <w:pPr>
              <w:rPr>
                <w:rFonts w:ascii="Arial" w:hAnsi="Arial" w:cs="Arial"/>
                <w:sz w:val="18"/>
                <w:szCs w:val="18"/>
              </w:rPr>
            </w:pPr>
            <w:r w:rsidRPr="00BC3709">
              <w:rPr>
                <w:rFonts w:ascii="Arial" w:hAnsi="Arial" w:cs="Arial"/>
                <w:sz w:val="18"/>
                <w:szCs w:val="18"/>
              </w:rPr>
              <w:t>32</w:t>
            </w:r>
          </w:p>
          <w:p w:rsidR="000F5964" w:rsidRPr="00BC3709" w:rsidRDefault="000F5964" w:rsidP="007B0DD7">
            <w:pPr>
              <w:rPr>
                <w:rFonts w:ascii="Arial" w:hAnsi="Arial" w:cs="Arial"/>
                <w:sz w:val="18"/>
                <w:szCs w:val="18"/>
              </w:rPr>
            </w:pP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77</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99</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with stenting</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 xml:space="preserve">Clopidogrel loading dose at least 2 hr before PCI (600 mg); thereafter, a daily dose of 75 mg, with planned treatment with clopidogrel and aspirin for at least 6 months. </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Also all patients received unfractionated heparin (100 IU per kg) during PCI and 250 mg aspirin intravenously immediately after stent placement (and daily dose of 100 mg thereafter).</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t>Eshtehardi, 2010</w:t>
            </w:r>
          </w:p>
          <w:p w:rsidR="000F5964" w:rsidRPr="00BC3709" w:rsidRDefault="000F5964" w:rsidP="007B0DD7">
            <w:pPr>
              <w:rPr>
                <w:rFonts w:ascii="Arial" w:hAnsi="Arial" w:cs="Arial"/>
                <w:sz w:val="18"/>
                <w:szCs w:val="18"/>
              </w:rPr>
            </w:pPr>
            <w:r w:rsidRPr="00BC3709">
              <w:rPr>
                <w:rFonts w:ascii="Arial" w:hAnsi="Arial" w:cs="Arial"/>
                <w:sz w:val="18"/>
                <w:szCs w:val="18"/>
              </w:rPr>
              <w:t>20435201</w:t>
            </w:r>
          </w:p>
          <w:p w:rsidR="000F5964" w:rsidRPr="00BC3709" w:rsidRDefault="000F5964" w:rsidP="007B0DD7">
            <w:pPr>
              <w:rPr>
                <w:rFonts w:ascii="Arial" w:hAnsi="Arial" w:cs="Arial"/>
                <w:sz w:val="18"/>
                <w:szCs w:val="18"/>
              </w:rPr>
            </w:pPr>
            <w:r w:rsidRPr="00BC3709">
              <w:rPr>
                <w:rFonts w:ascii="Arial" w:hAnsi="Arial" w:cs="Arial"/>
                <w:sz w:val="18"/>
                <w:szCs w:val="18"/>
              </w:rPr>
              <w:t>Switzerland</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219</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168 (77%)</w:t>
            </w:r>
          </w:p>
          <w:p w:rsidR="000F5964" w:rsidRPr="00BC3709" w:rsidRDefault="000F5964" w:rsidP="007B0DD7">
            <w:pPr>
              <w:rPr>
                <w:rFonts w:ascii="Arial" w:hAnsi="Arial" w:cs="Arial"/>
                <w:sz w:val="18"/>
                <w:szCs w:val="18"/>
              </w:rPr>
            </w:pPr>
            <w:r w:rsidRPr="00BC3709">
              <w:rPr>
                <w:rFonts w:ascii="Arial" w:hAnsi="Arial" w:cs="Arial"/>
                <w:sz w:val="18"/>
                <w:szCs w:val="18"/>
              </w:rPr>
              <w:t>Mean/SD 66+/-9 yr</w:t>
            </w:r>
          </w:p>
        </w:tc>
        <w:tc>
          <w:tcPr>
            <w:tcW w:w="2642"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ACS 82 (37%) [not sure ACS=heart failure]</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PCI 70 (32%); CABG 26 (12%)</w:t>
            </w:r>
          </w:p>
          <w:p w:rsidR="000F5964" w:rsidRPr="00BC3709" w:rsidRDefault="000F5964" w:rsidP="007B0DD7">
            <w:pPr>
              <w:rPr>
                <w:rFonts w:ascii="Arial" w:hAnsi="Arial" w:cs="Arial"/>
                <w:sz w:val="18"/>
                <w:szCs w:val="18"/>
              </w:rPr>
            </w:pPr>
            <w:r w:rsidRPr="00BC3709">
              <w:rPr>
                <w:rFonts w:ascii="Arial" w:hAnsi="Arial" w:cs="Arial"/>
                <w:sz w:val="18"/>
                <w:szCs w:val="18"/>
              </w:rPr>
              <w:t>137 (63%)</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60 (27%)</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155 (71%)</w:t>
            </w:r>
          </w:p>
          <w:p w:rsidR="000F5964" w:rsidRPr="00BC3709" w:rsidRDefault="000F5964" w:rsidP="007B0DD7">
            <w:pPr>
              <w:rPr>
                <w:rFonts w:ascii="Arial" w:hAnsi="Arial" w:cs="Arial"/>
                <w:sz w:val="18"/>
                <w:szCs w:val="18"/>
              </w:rPr>
            </w:pPr>
            <w:r w:rsidRPr="00BC3709">
              <w:rPr>
                <w:rFonts w:ascii="Arial" w:hAnsi="Arial" w:cs="Arial"/>
                <w:sz w:val="18"/>
                <w:szCs w:val="18"/>
              </w:rPr>
              <w:t>Current 57 (26%)</w:t>
            </w:r>
          </w:p>
          <w:p w:rsidR="000F5964" w:rsidRPr="00BC3709" w:rsidRDefault="000F5964" w:rsidP="007B0DD7">
            <w:pPr>
              <w:rPr>
                <w:rFonts w:ascii="Arial" w:hAnsi="Arial" w:cs="Arial"/>
                <w:sz w:val="18"/>
                <w:szCs w:val="18"/>
              </w:rPr>
            </w:pPr>
            <w:r w:rsidRPr="00BC3709">
              <w:rPr>
                <w:rFonts w:ascii="Arial" w:hAnsi="Arial" w:cs="Arial"/>
                <w:sz w:val="18"/>
                <w:szCs w:val="18"/>
              </w:rPr>
              <w:t>Atrial HTN 163 (74%)</w:t>
            </w:r>
          </w:p>
          <w:p w:rsidR="000F5964" w:rsidRPr="00BC3709" w:rsidRDefault="000F5964" w:rsidP="007B0DD7">
            <w:pPr>
              <w:rPr>
                <w:rFonts w:ascii="Arial" w:hAnsi="Arial" w:cs="Arial"/>
                <w:sz w:val="18"/>
                <w:szCs w:val="18"/>
              </w:rPr>
            </w:pPr>
            <w:r w:rsidRPr="00BC3709">
              <w:rPr>
                <w:rFonts w:ascii="Arial" w:hAnsi="Arial" w:cs="Arial"/>
                <w:sz w:val="18"/>
                <w:szCs w:val="18"/>
              </w:rPr>
              <w:t>43 (20%)</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 (pretreatment in study)</w:t>
            </w:r>
          </w:p>
          <w:p w:rsidR="000F5964" w:rsidRPr="00BC3709" w:rsidRDefault="000F5964" w:rsidP="007B0DD7">
            <w:pPr>
              <w:rPr>
                <w:rFonts w:ascii="Arial" w:hAnsi="Arial" w:cs="Arial"/>
                <w:sz w:val="18"/>
                <w:szCs w:val="18"/>
              </w:rPr>
            </w:pPr>
            <w:r w:rsidRPr="00BC3709">
              <w:rPr>
                <w:rFonts w:ascii="Arial" w:hAnsi="Arial" w:cs="Arial"/>
                <w:sz w:val="18"/>
                <w:szCs w:val="18"/>
              </w:rPr>
              <w:t>100% (pretreatment in study)</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w:t>
            </w:r>
          </w:p>
          <w:p w:rsidR="000F5964" w:rsidRPr="00BC3709" w:rsidRDefault="000F5964" w:rsidP="007B0DD7">
            <w:pPr>
              <w:rPr>
                <w:rFonts w:ascii="Arial" w:hAnsi="Arial" w:cs="Arial"/>
                <w:sz w:val="18"/>
                <w:szCs w:val="18"/>
              </w:rPr>
            </w:pPr>
            <w:r w:rsidRPr="00BC3709">
              <w:rPr>
                <w:rFonts w:ascii="Arial" w:hAnsi="Arial" w:cs="Arial"/>
                <w:sz w:val="18"/>
                <w:szCs w:val="18"/>
              </w:rPr>
              <w:t>DES 164 (75%); BMS 55 (25%)</w:t>
            </w:r>
          </w:p>
          <w:p w:rsidR="000F5964" w:rsidRPr="00BC3709" w:rsidRDefault="000F5964" w:rsidP="007B0DD7">
            <w:pPr>
              <w:rPr>
                <w:rFonts w:ascii="Arial" w:hAnsi="Arial" w:cs="Arial"/>
                <w:sz w:val="18"/>
                <w:szCs w:val="18"/>
              </w:rPr>
            </w:pPr>
            <w:r w:rsidRPr="00BC3709">
              <w:rPr>
                <w:rFonts w:ascii="Arial" w:hAnsi="Arial" w:cs="Arial"/>
                <w:sz w:val="18"/>
                <w:szCs w:val="18"/>
              </w:rPr>
              <w:t>Multi 77 (34%)</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Patients with stable angina or ACS with an indication for PCI, undergoing PCI with stenting</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500 mg ASA intravenously (unless if already on 100 mg daily); then 600 mg clopidogrel loading dose (unless already on 75 mg daily)</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unfractionated heparin (70-100 U/kg body weight) before or at time of PCI</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Ivandic, 2009</w:t>
            </w:r>
          </w:p>
          <w:p w:rsidR="000F5964" w:rsidRPr="00BC3709" w:rsidRDefault="000F5964" w:rsidP="007B0DD7">
            <w:pPr>
              <w:rPr>
                <w:rFonts w:ascii="Arial" w:hAnsi="Arial" w:cs="Arial"/>
                <w:sz w:val="18"/>
                <w:szCs w:val="18"/>
              </w:rPr>
            </w:pPr>
            <w:r w:rsidRPr="00BC3709">
              <w:rPr>
                <w:rFonts w:ascii="Arial" w:hAnsi="Arial" w:cs="Arial"/>
                <w:sz w:val="18"/>
                <w:szCs w:val="18"/>
              </w:rPr>
              <w:t>19359538</w:t>
            </w:r>
          </w:p>
          <w:p w:rsidR="000F5964" w:rsidRPr="00BC3709" w:rsidRDefault="000F5964" w:rsidP="007B0DD7">
            <w:pPr>
              <w:rPr>
                <w:rFonts w:ascii="Arial" w:hAnsi="Arial" w:cs="Arial"/>
                <w:sz w:val="18"/>
                <w:szCs w:val="18"/>
              </w:rPr>
            </w:pPr>
            <w:r w:rsidRPr="00BC3709">
              <w:rPr>
                <w:rFonts w:ascii="Arial" w:hAnsi="Arial" w:cs="Arial"/>
                <w:sz w:val="18"/>
                <w:szCs w:val="18"/>
              </w:rPr>
              <w:t>Germany</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182 (163 full responders, 19 dual nonresponders)</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130 (71%)</w:t>
            </w:r>
          </w:p>
          <w:p w:rsidR="000F5964" w:rsidRPr="00BC3709" w:rsidRDefault="000F5964" w:rsidP="007B0DD7">
            <w:pPr>
              <w:rPr>
                <w:rFonts w:ascii="Arial" w:hAnsi="Arial" w:cs="Arial"/>
                <w:sz w:val="18"/>
                <w:szCs w:val="18"/>
              </w:rPr>
            </w:pPr>
            <w:r w:rsidRPr="00BC3709">
              <w:rPr>
                <w:rFonts w:ascii="Arial" w:hAnsi="Arial" w:cs="Arial"/>
                <w:sz w:val="18"/>
                <w:szCs w:val="18"/>
              </w:rPr>
              <w:t>Median age (95% CI); Nonresponders 68 (59–72); Responders 65 (67–72)</w:t>
            </w:r>
          </w:p>
        </w:tc>
        <w:tc>
          <w:tcPr>
            <w:tcW w:w="2642"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78 (43%)</w:t>
            </w:r>
          </w:p>
          <w:p w:rsidR="000F5964" w:rsidRPr="00BC3709" w:rsidRDefault="000F5964" w:rsidP="007B0DD7">
            <w:pPr>
              <w:rPr>
                <w:rFonts w:ascii="Arial" w:hAnsi="Arial" w:cs="Arial"/>
                <w:sz w:val="18"/>
                <w:szCs w:val="18"/>
              </w:rPr>
            </w:pPr>
          </w:p>
          <w:p w:rsidR="000F5964" w:rsidRPr="00BC3709" w:rsidRDefault="000F5964" w:rsidP="007B0DD7">
            <w:pPr>
              <w:rPr>
                <w:rFonts w:ascii="Arial" w:hAnsi="Arial" w:cs="Arial"/>
                <w:sz w:val="18"/>
                <w:szCs w:val="18"/>
              </w:rPr>
            </w:pPr>
            <w:r w:rsidRPr="00BC3709">
              <w:rPr>
                <w:rFonts w:ascii="Arial" w:hAnsi="Arial" w:cs="Arial"/>
                <w:sz w:val="18"/>
                <w:szCs w:val="18"/>
              </w:rPr>
              <w:t>14 (8%)</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40 (22%)/52 (29%)</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Hypercholesterolemia 113 (82%)</w:t>
            </w:r>
          </w:p>
          <w:p w:rsidR="000F5964" w:rsidRPr="00BC3709" w:rsidRDefault="000F5964" w:rsidP="007B0DD7">
            <w:pPr>
              <w:rPr>
                <w:rFonts w:ascii="Arial" w:hAnsi="Arial" w:cs="Arial"/>
                <w:sz w:val="18"/>
                <w:szCs w:val="18"/>
              </w:rPr>
            </w:pPr>
            <w:r w:rsidRPr="00BC3709">
              <w:rPr>
                <w:rFonts w:ascii="Arial" w:hAnsi="Arial" w:cs="Arial"/>
                <w:sz w:val="18"/>
                <w:szCs w:val="18"/>
              </w:rPr>
              <w:t>61 (34%)</w:t>
            </w:r>
          </w:p>
          <w:p w:rsidR="000F5964" w:rsidRPr="00BC3709" w:rsidRDefault="000F5964" w:rsidP="007B0DD7">
            <w:pPr>
              <w:rPr>
                <w:rFonts w:ascii="Arial" w:hAnsi="Arial" w:cs="Arial"/>
                <w:sz w:val="18"/>
                <w:szCs w:val="18"/>
              </w:rPr>
            </w:pPr>
            <w:r w:rsidRPr="00BC3709">
              <w:rPr>
                <w:rFonts w:ascii="Arial" w:hAnsi="Arial" w:cs="Arial"/>
                <w:sz w:val="18"/>
                <w:szCs w:val="18"/>
              </w:rPr>
              <w:t>HTN (arterial) 146 (80%)</w:t>
            </w:r>
          </w:p>
          <w:p w:rsidR="000F5964" w:rsidRPr="00BC3709" w:rsidRDefault="000F5964" w:rsidP="007B0DD7">
            <w:pPr>
              <w:rPr>
                <w:rFonts w:ascii="Arial" w:hAnsi="Arial" w:cs="Arial"/>
                <w:sz w:val="18"/>
                <w:szCs w:val="18"/>
              </w:rPr>
            </w:pPr>
            <w:r w:rsidRPr="00BC3709">
              <w:rPr>
                <w:rFonts w:ascii="Arial" w:hAnsi="Arial" w:cs="Arial"/>
                <w:sz w:val="18"/>
                <w:szCs w:val="18"/>
              </w:rPr>
              <w:t>57 (31%)</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DES only 77 (42%); BMS only 75 (41%); Both 23 (13%)</w:t>
            </w:r>
          </w:p>
          <w:p w:rsidR="000F5964" w:rsidRPr="00BC3709" w:rsidRDefault="000F5964" w:rsidP="007B0DD7">
            <w:pPr>
              <w:rPr>
                <w:rFonts w:ascii="Arial" w:hAnsi="Arial" w:cs="Arial"/>
                <w:sz w:val="18"/>
                <w:szCs w:val="18"/>
              </w:rPr>
            </w:pPr>
            <w:r w:rsidRPr="00BC3709">
              <w:rPr>
                <w:rFonts w:ascii="Arial" w:hAnsi="Arial" w:cs="Arial"/>
                <w:sz w:val="18"/>
                <w:szCs w:val="18"/>
              </w:rPr>
              <w:t>3-vessel 90 (49%)</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CAD patients who underwent PCI</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Emergency patients with ACS received 0.5 g ASA intravenously and an oral loading dose of 600 mg clopidogrel before PCI. Electively hospitalized patients with suspected CAD or suspected progression of CAD received 0.5 g ASA intravenously before and loading dose of 600 mg clopidogrel immediately after PCI and stenting. After PCI, all patients received maintenance doses of 100 mg ASA and 75 mg clopidogrel once daily.</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A single bolus of unfractionated heparin (10 000 U) was given immediately before PCI. The type of stent used for PCI was left at the discretion of the operator.</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lang w:val="es-ES_tradnl"/>
              </w:rPr>
            </w:pPr>
            <w:r w:rsidRPr="00BC3709">
              <w:rPr>
                <w:rFonts w:ascii="Arial" w:hAnsi="Arial" w:cs="Arial"/>
                <w:sz w:val="18"/>
                <w:szCs w:val="18"/>
                <w:lang w:val="es-ES_tradnl"/>
              </w:rPr>
              <w:lastRenderedPageBreak/>
              <w:t>Siller-</w:t>
            </w:r>
            <w:r>
              <w:rPr>
                <w:rFonts w:ascii="Arial" w:hAnsi="Arial" w:cs="Arial"/>
                <w:sz w:val="18"/>
                <w:szCs w:val="18"/>
                <w:lang w:val="es-ES_tradnl"/>
              </w:rPr>
              <w:t>M</w:t>
            </w:r>
            <w:r w:rsidRPr="00BC3709">
              <w:rPr>
                <w:rFonts w:ascii="Arial" w:hAnsi="Arial" w:cs="Arial"/>
                <w:sz w:val="18"/>
                <w:szCs w:val="18"/>
                <w:lang w:val="es-ES_tradnl"/>
              </w:rPr>
              <w:t>atula, 2012</w:t>
            </w:r>
          </w:p>
          <w:p w:rsidR="000F5964" w:rsidRPr="00BC3709" w:rsidRDefault="000F5964" w:rsidP="007B0DD7">
            <w:pPr>
              <w:rPr>
                <w:rFonts w:ascii="Arial" w:hAnsi="Arial" w:cs="Arial"/>
                <w:sz w:val="18"/>
                <w:szCs w:val="18"/>
              </w:rPr>
            </w:pPr>
            <w:r w:rsidRPr="00BC3709">
              <w:rPr>
                <w:rFonts w:ascii="Arial" w:hAnsi="Arial" w:cs="Arial"/>
                <w:sz w:val="18"/>
                <w:szCs w:val="18"/>
              </w:rPr>
              <w:t>22260716</w:t>
            </w:r>
          </w:p>
          <w:p w:rsidR="000F5964" w:rsidRPr="00BC3709" w:rsidRDefault="000F5964" w:rsidP="007B0DD7">
            <w:pPr>
              <w:rPr>
                <w:rFonts w:ascii="Arial" w:hAnsi="Arial" w:cs="Arial"/>
                <w:sz w:val="18"/>
                <w:szCs w:val="18"/>
              </w:rPr>
            </w:pPr>
            <w:r w:rsidRPr="00BC3709">
              <w:rPr>
                <w:rFonts w:ascii="Arial" w:hAnsi="Arial" w:cs="Arial"/>
                <w:sz w:val="18"/>
                <w:szCs w:val="18"/>
              </w:rPr>
              <w:t>PEGASUS-PCI</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416</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76</w:t>
            </w:r>
          </w:p>
          <w:p w:rsidR="000F5964" w:rsidRPr="00BC3709" w:rsidRDefault="000F5964" w:rsidP="007B0DD7">
            <w:pPr>
              <w:rPr>
                <w:rFonts w:ascii="Arial" w:hAnsi="Arial" w:cs="Arial"/>
                <w:sz w:val="18"/>
                <w:szCs w:val="18"/>
              </w:rPr>
            </w:pPr>
            <w:r w:rsidRPr="00BC3709">
              <w:rPr>
                <w:rFonts w:ascii="Arial" w:hAnsi="Arial" w:cs="Arial"/>
                <w:sz w:val="18"/>
                <w:szCs w:val="18"/>
              </w:rPr>
              <w:t>64±12</w:t>
            </w:r>
          </w:p>
        </w:tc>
        <w:tc>
          <w:tcPr>
            <w:tcW w:w="2642"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PCI 47</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rPr>
            </w:pPr>
            <w:r w:rsidRPr="00BC3709">
              <w:rPr>
                <w:rFonts w:ascii="Arial" w:hAnsi="Arial" w:cs="Arial"/>
                <w:sz w:val="18"/>
                <w:szCs w:val="18"/>
              </w:rPr>
              <w:t>13</w:t>
            </w:r>
          </w:p>
          <w:p w:rsidR="000F5964" w:rsidRPr="00BC3709" w:rsidRDefault="000F5964" w:rsidP="007B0DD7">
            <w:pPr>
              <w:rPr>
                <w:rFonts w:ascii="Arial" w:hAnsi="Arial" w:cs="Arial"/>
                <w:sz w:val="18"/>
                <w:szCs w:val="18"/>
              </w:rPr>
            </w:pPr>
            <w:r w:rsidRPr="00BC3709">
              <w:rPr>
                <w:rFonts w:ascii="Arial" w:hAnsi="Arial" w:cs="Arial"/>
                <w:sz w:val="18"/>
                <w:szCs w:val="18"/>
              </w:rPr>
              <w:t>31</w:t>
            </w:r>
          </w:p>
          <w:p w:rsidR="000F5964" w:rsidRPr="00BC3709" w:rsidRDefault="000F5964" w:rsidP="007B0DD7">
            <w:pPr>
              <w:rPr>
                <w:rFonts w:ascii="Arial" w:hAnsi="Arial" w:cs="Arial"/>
                <w:sz w:val="18"/>
                <w:szCs w:val="18"/>
              </w:rPr>
            </w:pPr>
            <w:r w:rsidRPr="00BC3709">
              <w:rPr>
                <w:rFonts w:ascii="Arial" w:hAnsi="Arial" w:cs="Arial"/>
                <w:sz w:val="18"/>
                <w:szCs w:val="18"/>
              </w:rPr>
              <w:t>18/NR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hyper 76</w:t>
            </w:r>
          </w:p>
          <w:p w:rsidR="000F5964" w:rsidRPr="00BC3709" w:rsidRDefault="000F5964" w:rsidP="007B0DD7">
            <w:pPr>
              <w:rPr>
                <w:rFonts w:ascii="Arial" w:hAnsi="Arial" w:cs="Arial"/>
                <w:sz w:val="18"/>
                <w:szCs w:val="18"/>
              </w:rPr>
            </w:pPr>
            <w:r w:rsidRPr="00BC3709">
              <w:rPr>
                <w:rFonts w:ascii="Arial" w:hAnsi="Arial" w:cs="Arial"/>
                <w:sz w:val="18"/>
                <w:szCs w:val="18"/>
              </w:rPr>
              <w:t>55</w:t>
            </w:r>
          </w:p>
          <w:p w:rsidR="000F5964" w:rsidRPr="00BC3709" w:rsidRDefault="000F5964" w:rsidP="007B0DD7">
            <w:pPr>
              <w:rPr>
                <w:rFonts w:ascii="Arial" w:hAnsi="Arial" w:cs="Arial"/>
                <w:sz w:val="18"/>
                <w:szCs w:val="18"/>
              </w:rPr>
            </w:pPr>
            <w:r w:rsidRPr="00BC3709">
              <w:rPr>
                <w:rFonts w:ascii="Arial" w:hAnsi="Arial" w:cs="Arial"/>
                <w:sz w:val="18"/>
                <w:szCs w:val="18"/>
              </w:rPr>
              <w:t>84</w:t>
            </w:r>
          </w:p>
          <w:p w:rsidR="000F5964" w:rsidRPr="00BC3709" w:rsidRDefault="000F5964" w:rsidP="007B0DD7">
            <w:pPr>
              <w:rPr>
                <w:rFonts w:ascii="Arial" w:hAnsi="Arial" w:cs="Arial"/>
                <w:sz w:val="18"/>
                <w:szCs w:val="18"/>
              </w:rPr>
            </w:pPr>
            <w:r w:rsidRPr="00BC3709">
              <w:rPr>
                <w:rFonts w:ascii="Arial" w:hAnsi="Arial" w:cs="Arial"/>
                <w:sz w:val="18"/>
                <w:szCs w:val="18"/>
              </w:rPr>
              <w:t>32</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76</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DES 99</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patients undergoing PCI</w:t>
            </w:r>
          </w:p>
        </w:tc>
        <w:tc>
          <w:tcPr>
            <w:tcW w:w="1459" w:type="dxa"/>
            <w:shd w:val="clear" w:color="auto" w:fill="auto"/>
          </w:tcPr>
          <w:p w:rsidR="000F5964" w:rsidRPr="00BC3709" w:rsidRDefault="000F5964" w:rsidP="007B0DD7">
            <w:pPr>
              <w:autoSpaceDE w:val="0"/>
              <w:autoSpaceDN w:val="0"/>
              <w:adjustRightInd w:val="0"/>
              <w:rPr>
                <w:rFonts w:ascii="Arial" w:hAnsi="Arial" w:cs="Arial"/>
                <w:color w:val="231F20"/>
                <w:sz w:val="18"/>
                <w:szCs w:val="18"/>
              </w:rPr>
            </w:pPr>
            <w:r w:rsidRPr="00BC3709">
              <w:rPr>
                <w:rFonts w:ascii="Arial" w:hAnsi="Arial" w:cs="Arial"/>
                <w:color w:val="231F20"/>
                <w:sz w:val="18"/>
                <w:szCs w:val="18"/>
              </w:rPr>
              <w:t>clopidogrel LD 600mg, MD 75mg</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lang w:val="es-ES_tradnl"/>
              </w:rPr>
            </w:pPr>
            <w:r w:rsidRPr="00BC3709">
              <w:rPr>
                <w:rFonts w:ascii="Arial" w:hAnsi="Arial" w:cs="Arial"/>
                <w:sz w:val="18"/>
                <w:szCs w:val="18"/>
                <w:lang w:val="es-ES_tradnl"/>
              </w:rPr>
              <w:t>Codner, 2012</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22534051</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Israel</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57</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91</w:t>
            </w:r>
          </w:p>
          <w:p w:rsidR="000F5964" w:rsidRPr="00BC3709" w:rsidRDefault="000F5964" w:rsidP="007B0DD7">
            <w:pPr>
              <w:rPr>
                <w:rFonts w:ascii="Arial" w:hAnsi="Arial" w:cs="Arial"/>
                <w:sz w:val="18"/>
                <w:szCs w:val="18"/>
              </w:rPr>
            </w:pPr>
            <w:r w:rsidRPr="00BC3709">
              <w:rPr>
                <w:rFonts w:ascii="Arial" w:hAnsi="Arial" w:cs="Arial"/>
                <w:sz w:val="18"/>
                <w:szCs w:val="18"/>
              </w:rPr>
              <w:t>54.5</w:t>
            </w:r>
          </w:p>
        </w:tc>
        <w:tc>
          <w:tcPr>
            <w:tcW w:w="2642"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7</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PCI-16/CABG-7%</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18</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58</w:t>
            </w:r>
          </w:p>
          <w:p w:rsidR="000F5964" w:rsidRPr="00BC3709" w:rsidRDefault="000F5964" w:rsidP="007B0DD7">
            <w:pPr>
              <w:rPr>
                <w:rFonts w:ascii="Arial" w:hAnsi="Arial" w:cs="Arial"/>
                <w:sz w:val="18"/>
                <w:szCs w:val="18"/>
              </w:rPr>
            </w:pPr>
            <w:r w:rsidRPr="00BC3709">
              <w:rPr>
                <w:rFonts w:ascii="Arial" w:hAnsi="Arial" w:cs="Arial"/>
                <w:sz w:val="18"/>
                <w:szCs w:val="18"/>
              </w:rPr>
              <w:t>39</w:t>
            </w:r>
          </w:p>
          <w:p w:rsidR="000F5964" w:rsidRPr="00BC3709" w:rsidRDefault="000F5964" w:rsidP="007B0DD7">
            <w:pPr>
              <w:rPr>
                <w:rFonts w:ascii="Arial" w:hAnsi="Arial" w:cs="Arial"/>
                <w:sz w:val="18"/>
                <w:szCs w:val="18"/>
              </w:rPr>
            </w:pPr>
            <w:r w:rsidRPr="00BC3709">
              <w:rPr>
                <w:rFonts w:ascii="Arial" w:hAnsi="Arial" w:cs="Arial"/>
                <w:sz w:val="18"/>
                <w:szCs w:val="18"/>
              </w:rPr>
              <w:t>45</w:t>
            </w:r>
          </w:p>
          <w:p w:rsidR="000F5964" w:rsidRPr="00BC3709" w:rsidRDefault="000F5964" w:rsidP="007B0DD7">
            <w:pPr>
              <w:rPr>
                <w:rFonts w:ascii="Arial" w:hAnsi="Arial" w:cs="Arial"/>
                <w:sz w:val="18"/>
                <w:szCs w:val="18"/>
              </w:rPr>
            </w:pPr>
            <w:r w:rsidRPr="00BC3709">
              <w:rPr>
                <w:rFonts w:ascii="Arial" w:hAnsi="Arial" w:cs="Arial"/>
                <w:sz w:val="18"/>
                <w:szCs w:val="18"/>
              </w:rPr>
              <w:t>19</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for ACS</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 xml:space="preserve">LD: clopidogrel 600 mg and aspirin 100 mg </w:t>
            </w:r>
          </w:p>
          <w:p w:rsidR="000F5964" w:rsidRPr="00BC3709" w:rsidRDefault="000F5964" w:rsidP="007B0DD7">
            <w:pPr>
              <w:rPr>
                <w:rFonts w:ascii="Arial" w:hAnsi="Arial" w:cs="Arial"/>
                <w:sz w:val="18"/>
                <w:szCs w:val="18"/>
              </w:rPr>
            </w:pPr>
            <w:r w:rsidRPr="00BC3709">
              <w:rPr>
                <w:rFonts w:ascii="Arial" w:hAnsi="Arial" w:cs="Arial"/>
                <w:sz w:val="18"/>
                <w:szCs w:val="18"/>
              </w:rPr>
              <w:t>MD: clopidogrel 75 mg/d and aspirin 100 mg/d</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heparin, bivalirudin, and/or glycoprotein IIb/IIIa inhibitors</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Gerotziafas, 2012</w:t>
            </w:r>
          </w:p>
          <w:p w:rsidR="000F5964" w:rsidRPr="00BC3709" w:rsidRDefault="000F5964" w:rsidP="007B0DD7">
            <w:pPr>
              <w:rPr>
                <w:rFonts w:ascii="Arial" w:hAnsi="Arial" w:cs="Arial"/>
                <w:sz w:val="18"/>
                <w:szCs w:val="18"/>
              </w:rPr>
            </w:pPr>
            <w:r w:rsidRPr="00BC3709">
              <w:rPr>
                <w:rFonts w:ascii="Arial" w:hAnsi="Arial" w:cs="Arial"/>
                <w:sz w:val="18"/>
                <w:szCs w:val="18"/>
              </w:rPr>
              <w:t>22311629</w:t>
            </w:r>
          </w:p>
          <w:p w:rsidR="000F5964" w:rsidRPr="00BC3709" w:rsidRDefault="000F5964" w:rsidP="007B0DD7">
            <w:pPr>
              <w:rPr>
                <w:rFonts w:ascii="Arial" w:hAnsi="Arial" w:cs="Arial"/>
                <w:sz w:val="18"/>
                <w:szCs w:val="18"/>
              </w:rPr>
            </w:pPr>
            <w:r w:rsidRPr="00BC3709">
              <w:rPr>
                <w:rFonts w:ascii="Arial" w:hAnsi="Arial" w:cs="Arial"/>
                <w:sz w:val="18"/>
                <w:szCs w:val="18"/>
              </w:rPr>
              <w:t>Greece</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106</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84.9</w:t>
            </w:r>
          </w:p>
          <w:p w:rsidR="000F5964" w:rsidRPr="00BC3709" w:rsidRDefault="000F5964" w:rsidP="007B0DD7">
            <w:pPr>
              <w:rPr>
                <w:rFonts w:ascii="Arial" w:hAnsi="Arial" w:cs="Arial"/>
                <w:sz w:val="18"/>
                <w:szCs w:val="18"/>
              </w:rPr>
            </w:pPr>
            <w:r w:rsidRPr="00BC3709">
              <w:rPr>
                <w:rFonts w:ascii="Arial" w:hAnsi="Arial" w:cs="Arial"/>
                <w:sz w:val="18"/>
                <w:szCs w:val="18"/>
              </w:rPr>
              <w:t>63.3</w:t>
            </w:r>
          </w:p>
        </w:tc>
        <w:tc>
          <w:tcPr>
            <w:tcW w:w="2642"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 xml:space="preserve">PCI - 71% </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53.8</w:t>
            </w:r>
          </w:p>
          <w:p w:rsidR="000F5964" w:rsidRPr="00BC3709" w:rsidRDefault="000F5964" w:rsidP="007B0DD7">
            <w:pPr>
              <w:rPr>
                <w:rFonts w:ascii="Arial" w:hAnsi="Arial" w:cs="Arial"/>
                <w:sz w:val="18"/>
                <w:szCs w:val="18"/>
              </w:rPr>
            </w:pPr>
            <w:r w:rsidRPr="00BC3709">
              <w:rPr>
                <w:rFonts w:ascii="Arial" w:hAnsi="Arial" w:cs="Arial"/>
                <w:sz w:val="18"/>
                <w:szCs w:val="18"/>
              </w:rPr>
              <w:t>17.9</w:t>
            </w:r>
          </w:p>
          <w:p w:rsidR="000F5964" w:rsidRPr="00BC3709" w:rsidRDefault="000F5964" w:rsidP="007B0DD7">
            <w:pPr>
              <w:rPr>
                <w:rFonts w:ascii="Arial" w:hAnsi="Arial" w:cs="Arial"/>
                <w:sz w:val="18"/>
                <w:szCs w:val="18"/>
              </w:rPr>
            </w:pPr>
            <w:r w:rsidRPr="00BC3709">
              <w:rPr>
                <w:rFonts w:ascii="Arial" w:hAnsi="Arial" w:cs="Arial"/>
                <w:sz w:val="18"/>
                <w:szCs w:val="18"/>
              </w:rPr>
              <w:t>84.9</w:t>
            </w:r>
          </w:p>
          <w:p w:rsidR="000F5964" w:rsidRPr="00BC3709" w:rsidRDefault="000F5964" w:rsidP="007B0DD7">
            <w:pPr>
              <w:rPr>
                <w:rFonts w:ascii="Arial" w:hAnsi="Arial" w:cs="Arial"/>
                <w:sz w:val="18"/>
                <w:szCs w:val="18"/>
              </w:rPr>
            </w:pPr>
            <w:r w:rsidRPr="00BC3709">
              <w:rPr>
                <w:rFonts w:ascii="Arial" w:hAnsi="Arial" w:cs="Arial"/>
                <w:sz w:val="18"/>
                <w:szCs w:val="18"/>
              </w:rPr>
              <w:t>18.9</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for ACS</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aspirin</w:t>
            </w:r>
          </w:p>
          <w:p w:rsidR="000F5964" w:rsidRPr="00BC3709" w:rsidRDefault="000F5964" w:rsidP="007B0DD7">
            <w:pPr>
              <w:rPr>
                <w:rFonts w:ascii="Arial" w:hAnsi="Arial" w:cs="Arial"/>
                <w:sz w:val="18"/>
                <w:szCs w:val="18"/>
              </w:rPr>
            </w:pPr>
            <w:r w:rsidRPr="00BC3709">
              <w:rPr>
                <w:rFonts w:ascii="Arial" w:hAnsi="Arial" w:cs="Arial"/>
                <w:sz w:val="18"/>
                <w:szCs w:val="18"/>
              </w:rPr>
              <w:t>100 mg and clopidogrel 75 mg once daily</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t>Johnston, 2012</w:t>
            </w:r>
          </w:p>
          <w:p w:rsidR="000F5964" w:rsidRPr="00BC3709" w:rsidRDefault="000F5964" w:rsidP="007B0DD7">
            <w:pPr>
              <w:rPr>
                <w:rFonts w:ascii="Arial" w:hAnsi="Arial" w:cs="Arial"/>
                <w:sz w:val="18"/>
                <w:szCs w:val="18"/>
              </w:rPr>
            </w:pPr>
            <w:r w:rsidRPr="00BC3709">
              <w:rPr>
                <w:rFonts w:ascii="Arial" w:hAnsi="Arial" w:cs="Arial"/>
                <w:sz w:val="18"/>
                <w:szCs w:val="18"/>
              </w:rPr>
              <w:t>22465351</w:t>
            </w:r>
          </w:p>
          <w:p w:rsidR="000F5964" w:rsidRPr="00BC3709" w:rsidRDefault="000F5964" w:rsidP="007B0DD7">
            <w:pPr>
              <w:rPr>
                <w:rFonts w:ascii="Arial" w:hAnsi="Arial" w:cs="Arial"/>
                <w:sz w:val="18"/>
                <w:szCs w:val="18"/>
              </w:rPr>
            </w:pPr>
            <w:r w:rsidRPr="00BC3709">
              <w:rPr>
                <w:rFonts w:ascii="Arial" w:hAnsi="Arial" w:cs="Arial"/>
                <w:sz w:val="18"/>
                <w:szCs w:val="18"/>
              </w:rPr>
              <w:t>New Zealand</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250</w:t>
            </w:r>
          </w:p>
          <w:p w:rsidR="000F5964" w:rsidRPr="00BC3709" w:rsidRDefault="000F5964" w:rsidP="007B0DD7">
            <w:pPr>
              <w:rPr>
                <w:rFonts w:ascii="Arial" w:hAnsi="Arial" w:cs="Arial"/>
                <w:sz w:val="18"/>
                <w:szCs w:val="18"/>
              </w:rPr>
            </w:pPr>
            <w:r w:rsidRPr="00BC3709">
              <w:rPr>
                <w:rFonts w:ascii="Arial" w:hAnsi="Arial" w:cs="Arial"/>
                <w:sz w:val="18"/>
                <w:szCs w:val="18"/>
              </w:rPr>
              <w:t>European 81.2</w:t>
            </w:r>
          </w:p>
          <w:p w:rsidR="000F5964" w:rsidRPr="00BC3709" w:rsidRDefault="000F5964" w:rsidP="007B0DD7">
            <w:pPr>
              <w:rPr>
                <w:rFonts w:ascii="Arial" w:hAnsi="Arial" w:cs="Arial"/>
                <w:sz w:val="18"/>
                <w:szCs w:val="18"/>
              </w:rPr>
            </w:pPr>
            <w:r w:rsidRPr="00BC3709">
              <w:rPr>
                <w:rFonts w:ascii="Arial" w:hAnsi="Arial" w:cs="Arial"/>
                <w:sz w:val="18"/>
                <w:szCs w:val="18"/>
              </w:rPr>
              <w:t>77.7</w:t>
            </w:r>
          </w:p>
          <w:p w:rsidR="000F5964" w:rsidRPr="00BC3709" w:rsidRDefault="000F5964" w:rsidP="007B0DD7">
            <w:pPr>
              <w:rPr>
                <w:rFonts w:ascii="Arial" w:hAnsi="Arial" w:cs="Arial"/>
                <w:sz w:val="18"/>
                <w:szCs w:val="18"/>
              </w:rPr>
            </w:pPr>
            <w:r w:rsidRPr="00BC3709">
              <w:rPr>
                <w:rFonts w:ascii="Arial" w:hAnsi="Arial" w:cs="Arial"/>
                <w:sz w:val="18"/>
                <w:szCs w:val="18"/>
              </w:rPr>
              <w:t>67.6</w:t>
            </w:r>
          </w:p>
        </w:tc>
        <w:tc>
          <w:tcPr>
            <w:tcW w:w="2642"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77.7</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67.6</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PCI=38.3/CABG-14%</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19.1</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70.6</w:t>
            </w:r>
          </w:p>
          <w:p w:rsidR="000F5964" w:rsidRPr="00BC3709" w:rsidRDefault="000F5964" w:rsidP="007B0DD7">
            <w:pPr>
              <w:rPr>
                <w:rFonts w:ascii="Arial" w:hAnsi="Arial" w:cs="Arial"/>
                <w:sz w:val="18"/>
                <w:szCs w:val="18"/>
              </w:rPr>
            </w:pPr>
            <w:r w:rsidRPr="00BC3709">
              <w:rPr>
                <w:rFonts w:ascii="Arial" w:hAnsi="Arial" w:cs="Arial"/>
                <w:sz w:val="18"/>
                <w:szCs w:val="18"/>
              </w:rPr>
              <w:t>22</w:t>
            </w:r>
          </w:p>
          <w:p w:rsidR="000F5964" w:rsidRPr="00BC3709" w:rsidRDefault="000F5964" w:rsidP="007B0DD7">
            <w:pPr>
              <w:rPr>
                <w:rFonts w:ascii="Arial" w:hAnsi="Arial" w:cs="Arial"/>
                <w:sz w:val="18"/>
                <w:szCs w:val="18"/>
              </w:rPr>
            </w:pPr>
            <w:r w:rsidRPr="00BC3709">
              <w:rPr>
                <w:rFonts w:ascii="Arial" w:hAnsi="Arial" w:cs="Arial"/>
                <w:sz w:val="18"/>
                <w:szCs w:val="18"/>
              </w:rPr>
              <w:t>89.4</w:t>
            </w:r>
          </w:p>
          <w:p w:rsidR="000F5964" w:rsidRPr="00BC3709" w:rsidRDefault="000F5964" w:rsidP="007B0DD7">
            <w:pPr>
              <w:rPr>
                <w:rFonts w:ascii="Arial" w:hAnsi="Arial" w:cs="Arial"/>
                <w:sz w:val="18"/>
                <w:szCs w:val="18"/>
              </w:rPr>
            </w:pPr>
            <w:r w:rsidRPr="00BC3709">
              <w:rPr>
                <w:rFonts w:ascii="Arial" w:hAnsi="Arial" w:cs="Arial"/>
                <w:sz w:val="18"/>
                <w:szCs w:val="18"/>
              </w:rPr>
              <w:t>31.2</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for ACS</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aspirin ≥300 mg at and clopidogrel</w:t>
            </w:r>
          </w:p>
          <w:p w:rsidR="000F5964" w:rsidRPr="00BC3709" w:rsidRDefault="000F5964" w:rsidP="007B0DD7">
            <w:pPr>
              <w:rPr>
                <w:rFonts w:ascii="Arial" w:hAnsi="Arial" w:cs="Arial"/>
                <w:sz w:val="18"/>
                <w:szCs w:val="18"/>
              </w:rPr>
            </w:pPr>
            <w:r w:rsidRPr="00BC3709">
              <w:rPr>
                <w:rFonts w:ascii="Arial" w:hAnsi="Arial" w:cs="Arial"/>
                <w:sz w:val="18"/>
                <w:szCs w:val="18"/>
              </w:rPr>
              <w:t>≥300 mg and/or aspirin (≥75 mg) and clopidogrel (≥75 mg)</w:t>
            </w:r>
          </w:p>
          <w:p w:rsidR="000F5964" w:rsidRPr="00BC3709" w:rsidRDefault="000F5964" w:rsidP="007B0DD7">
            <w:pPr>
              <w:rPr>
                <w:rFonts w:ascii="Arial" w:hAnsi="Arial" w:cs="Arial"/>
                <w:sz w:val="18"/>
                <w:szCs w:val="18"/>
              </w:rPr>
            </w:pP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rPr>
            </w:pPr>
            <w:r w:rsidRPr="00BC3709">
              <w:rPr>
                <w:rFonts w:ascii="Arial" w:hAnsi="Arial" w:cs="Arial"/>
                <w:sz w:val="18"/>
                <w:szCs w:val="18"/>
              </w:rPr>
              <w:lastRenderedPageBreak/>
              <w:t>Sibbing, 2012</w:t>
            </w:r>
          </w:p>
          <w:p w:rsidR="000F5964" w:rsidRPr="00BC3709" w:rsidRDefault="000F5964" w:rsidP="007B0DD7">
            <w:pPr>
              <w:rPr>
                <w:rFonts w:ascii="Arial" w:hAnsi="Arial" w:cs="Arial"/>
                <w:sz w:val="18"/>
                <w:szCs w:val="18"/>
              </w:rPr>
            </w:pPr>
            <w:r w:rsidRPr="00BC3709">
              <w:rPr>
                <w:rFonts w:ascii="Arial" w:hAnsi="Arial" w:cs="Arial"/>
                <w:sz w:val="18"/>
                <w:szCs w:val="18"/>
              </w:rPr>
              <w:t>22682553</w:t>
            </w:r>
          </w:p>
          <w:p w:rsidR="000F5964" w:rsidRPr="00BC3709" w:rsidRDefault="000F5964" w:rsidP="007B0DD7">
            <w:pPr>
              <w:rPr>
                <w:rFonts w:ascii="Arial" w:hAnsi="Arial" w:cs="Arial"/>
                <w:sz w:val="18"/>
                <w:szCs w:val="18"/>
              </w:rPr>
            </w:pPr>
            <w:r w:rsidRPr="00BC3709">
              <w:rPr>
                <w:rFonts w:ascii="Arial" w:hAnsi="Arial" w:cs="Arial"/>
                <w:sz w:val="18"/>
                <w:szCs w:val="18"/>
              </w:rPr>
              <w:t>Germany</w:t>
            </w:r>
          </w:p>
          <w:p w:rsidR="000F5964" w:rsidRPr="00BC3709" w:rsidRDefault="000F5964" w:rsidP="007B0DD7">
            <w:pPr>
              <w:rPr>
                <w:rFonts w:ascii="Arial" w:hAnsi="Arial" w:cs="Arial"/>
                <w:sz w:val="18"/>
                <w:szCs w:val="18"/>
              </w:rPr>
            </w:pPr>
            <w:r w:rsidRPr="00BC3709">
              <w:rPr>
                <w:rFonts w:ascii="Arial" w:hAnsi="Arial" w:cs="Arial"/>
                <w:sz w:val="18"/>
                <w:szCs w:val="18"/>
              </w:rPr>
              <w:t>ISAR-REACT 4</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564</w:t>
            </w:r>
          </w:p>
          <w:p w:rsidR="000F5964" w:rsidRPr="00BC3709" w:rsidRDefault="000F5964" w:rsidP="007B0DD7">
            <w:pPr>
              <w:rPr>
                <w:rFonts w:ascii="Arial" w:hAnsi="Arial" w:cs="Arial"/>
                <w:sz w:val="18"/>
                <w:szCs w:val="18"/>
              </w:rPr>
            </w:pPr>
            <w:r w:rsidRPr="00BC3709">
              <w:rPr>
                <w:rFonts w:ascii="Arial" w:hAnsi="Arial" w:cs="Arial"/>
                <w:sz w:val="18"/>
                <w:szCs w:val="18"/>
              </w:rPr>
              <w:t>81.2</w:t>
            </w:r>
          </w:p>
          <w:p w:rsidR="000F5964" w:rsidRPr="00BC3709" w:rsidRDefault="000F5964" w:rsidP="007B0DD7">
            <w:pPr>
              <w:rPr>
                <w:rFonts w:ascii="Arial" w:hAnsi="Arial" w:cs="Arial"/>
                <w:sz w:val="18"/>
                <w:szCs w:val="18"/>
              </w:rPr>
            </w:pPr>
            <w:r w:rsidRPr="00BC3709">
              <w:rPr>
                <w:rFonts w:ascii="Arial" w:hAnsi="Arial" w:cs="Arial"/>
                <w:sz w:val="18"/>
                <w:szCs w:val="18"/>
              </w:rPr>
              <w:t>74.8</w:t>
            </w:r>
          </w:p>
          <w:p w:rsidR="000F5964" w:rsidRPr="00BC3709" w:rsidRDefault="000F5964" w:rsidP="007B0DD7">
            <w:pPr>
              <w:rPr>
                <w:rFonts w:ascii="Arial" w:hAnsi="Arial" w:cs="Arial"/>
                <w:sz w:val="18"/>
                <w:szCs w:val="18"/>
              </w:rPr>
            </w:pPr>
            <w:r w:rsidRPr="00BC3709">
              <w:rPr>
                <w:rFonts w:ascii="Arial" w:hAnsi="Arial" w:cs="Arial"/>
                <w:sz w:val="18"/>
                <w:szCs w:val="18"/>
              </w:rPr>
              <w:t>62</w:t>
            </w:r>
          </w:p>
        </w:tc>
        <w:tc>
          <w:tcPr>
            <w:tcW w:w="2642"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PCI-18/CABG-8</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22.4</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54.8</w:t>
            </w:r>
            <w:r w:rsidRPr="00BC3709">
              <w:rPr>
                <w:rFonts w:ascii="Arial" w:hAnsi="Arial" w:cs="Arial"/>
                <w:sz w:val="18"/>
                <w:szCs w:val="18"/>
              </w:rPr>
              <w:br/>
              <w:t>26</w:t>
            </w:r>
          </w:p>
          <w:p w:rsidR="000F5964" w:rsidRPr="00BC3709" w:rsidRDefault="000F5964" w:rsidP="007B0DD7">
            <w:pPr>
              <w:rPr>
                <w:rFonts w:ascii="Arial" w:hAnsi="Arial" w:cs="Arial"/>
                <w:sz w:val="18"/>
                <w:szCs w:val="18"/>
              </w:rPr>
            </w:pPr>
            <w:r w:rsidRPr="00BC3709">
              <w:rPr>
                <w:rFonts w:ascii="Arial" w:hAnsi="Arial" w:cs="Arial"/>
                <w:sz w:val="18"/>
                <w:szCs w:val="18"/>
              </w:rPr>
              <w:t>58</w:t>
            </w:r>
          </w:p>
          <w:p w:rsidR="000F5964" w:rsidRPr="00BC3709" w:rsidRDefault="000F5964" w:rsidP="007B0DD7">
            <w:pPr>
              <w:rPr>
                <w:rFonts w:ascii="Arial" w:hAnsi="Arial" w:cs="Arial"/>
                <w:sz w:val="18"/>
                <w:szCs w:val="18"/>
              </w:rPr>
            </w:pPr>
            <w:r w:rsidRPr="00BC3709">
              <w:rPr>
                <w:rFonts w:ascii="Arial" w:hAnsi="Arial" w:cs="Arial"/>
                <w:sz w:val="18"/>
                <w:szCs w:val="18"/>
              </w:rPr>
              <w:t>20.8</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26</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PCI for ACS</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LD: 600 mg of clopidogrel and 500 mg aspirin MD: clopidogrel 75 mg x 12 months and aspirin 100 mg twice daily for an indefinite period</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 xml:space="preserve">Abciximab plus UFH group: bolus of 0.25 mg abciximab and 70 units UFH per kilogram body weight; then continuous infusion of 0.125 µg abciximab per kilogram body weight per minute x 12 h. </w:t>
            </w:r>
          </w:p>
          <w:p w:rsidR="000F5964" w:rsidRPr="00BC3709" w:rsidRDefault="000F5964" w:rsidP="007B0DD7">
            <w:pPr>
              <w:rPr>
                <w:rFonts w:ascii="Arial" w:hAnsi="Arial" w:cs="Arial"/>
                <w:sz w:val="18"/>
                <w:szCs w:val="18"/>
              </w:rPr>
            </w:pPr>
            <w:r w:rsidRPr="00BC3709">
              <w:rPr>
                <w:rFonts w:ascii="Arial" w:hAnsi="Arial" w:cs="Arial"/>
                <w:sz w:val="18"/>
                <w:szCs w:val="18"/>
              </w:rPr>
              <w:t>Bivalirudin group: bolus of 0.75 mg per kilogram bivalirudin, followed by a continuous infusion of 1.75 mg per kilogram per hour during PCI.</w:t>
            </w:r>
          </w:p>
        </w:tc>
      </w:tr>
      <w:tr w:rsidR="000F5964" w:rsidRPr="0003666F" w:rsidTr="007B0DD7">
        <w:trPr>
          <w:cantSplit/>
        </w:trPr>
        <w:tc>
          <w:tcPr>
            <w:tcW w:w="1669" w:type="dxa"/>
            <w:shd w:val="clear" w:color="auto" w:fill="auto"/>
          </w:tcPr>
          <w:p w:rsidR="000F5964" w:rsidRDefault="000F5964" w:rsidP="007B0DD7">
            <w:pPr>
              <w:rPr>
                <w:rFonts w:ascii="Arial" w:hAnsi="Arial" w:cs="Arial"/>
                <w:sz w:val="18"/>
                <w:szCs w:val="18"/>
                <w:lang w:val="es-ES_tradnl"/>
              </w:rPr>
            </w:pPr>
            <w:r w:rsidRPr="00BC3709">
              <w:rPr>
                <w:rFonts w:ascii="Arial" w:hAnsi="Arial" w:cs="Arial"/>
                <w:sz w:val="18"/>
                <w:szCs w:val="18"/>
                <w:lang w:val="es-ES_tradnl"/>
              </w:rPr>
              <w:lastRenderedPageBreak/>
              <w:t>Siller-Matula, 2012</w:t>
            </w:r>
          </w:p>
          <w:p w:rsidR="000F5964" w:rsidRPr="00BC3709" w:rsidRDefault="000F5964" w:rsidP="007B0DD7">
            <w:pPr>
              <w:rPr>
                <w:rFonts w:ascii="Arial" w:hAnsi="Arial" w:cs="Arial"/>
                <w:sz w:val="18"/>
                <w:szCs w:val="18"/>
              </w:rPr>
            </w:pPr>
            <w:r w:rsidRPr="00BC3709">
              <w:rPr>
                <w:rFonts w:ascii="Arial" w:hAnsi="Arial" w:cs="Arial"/>
                <w:sz w:val="18"/>
                <w:szCs w:val="18"/>
              </w:rPr>
              <w:t>22305813</w:t>
            </w:r>
          </w:p>
          <w:p w:rsidR="000F5964" w:rsidRPr="00BC3709" w:rsidRDefault="000F5964" w:rsidP="007B0DD7">
            <w:pPr>
              <w:rPr>
                <w:rFonts w:ascii="Arial" w:hAnsi="Arial" w:cs="Arial"/>
                <w:sz w:val="18"/>
                <w:szCs w:val="18"/>
              </w:rPr>
            </w:pPr>
            <w:r w:rsidRPr="00BC3709">
              <w:rPr>
                <w:rFonts w:ascii="Arial" w:hAnsi="Arial" w:cs="Arial"/>
                <w:sz w:val="18"/>
                <w:szCs w:val="18"/>
              </w:rPr>
              <w:t>Austria</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625"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403</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75.9</w:t>
            </w:r>
          </w:p>
          <w:p w:rsidR="000F5964" w:rsidRPr="00BC3709" w:rsidRDefault="000F5964" w:rsidP="007B0DD7">
            <w:pPr>
              <w:rPr>
                <w:rFonts w:ascii="Arial" w:hAnsi="Arial" w:cs="Arial"/>
                <w:sz w:val="18"/>
                <w:szCs w:val="18"/>
              </w:rPr>
            </w:pPr>
            <w:r w:rsidRPr="00BC3709">
              <w:rPr>
                <w:rFonts w:ascii="Arial" w:hAnsi="Arial" w:cs="Arial"/>
                <w:sz w:val="18"/>
                <w:szCs w:val="18"/>
              </w:rPr>
              <w:t>64.3</w:t>
            </w:r>
          </w:p>
        </w:tc>
        <w:tc>
          <w:tcPr>
            <w:tcW w:w="2642" w:type="dxa"/>
            <w:shd w:val="clear" w:color="auto" w:fill="auto"/>
          </w:tcPr>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100</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10.2</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PCI=46.9</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12.4</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32</w:t>
            </w:r>
          </w:p>
          <w:p w:rsidR="000F5964" w:rsidRPr="00BC3709" w:rsidRDefault="000F5964" w:rsidP="007B0DD7">
            <w:pPr>
              <w:rPr>
                <w:rFonts w:ascii="Arial" w:hAnsi="Arial" w:cs="Arial"/>
                <w:sz w:val="18"/>
                <w:szCs w:val="18"/>
                <w:lang w:val="es-ES_tradnl"/>
              </w:rPr>
            </w:pPr>
            <w:r w:rsidRPr="00BC3709">
              <w:rPr>
                <w:rFonts w:ascii="Arial" w:hAnsi="Arial" w:cs="Arial"/>
                <w:sz w:val="18"/>
                <w:szCs w:val="18"/>
                <w:lang w:val="es-ES_tradnl"/>
              </w:rPr>
              <w:t>NR</w:t>
            </w:r>
          </w:p>
        </w:tc>
        <w:tc>
          <w:tcPr>
            <w:tcW w:w="2164"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76.4</w:t>
            </w:r>
          </w:p>
          <w:p w:rsidR="000F5964" w:rsidRPr="00BC3709" w:rsidRDefault="000F5964" w:rsidP="007B0DD7">
            <w:pPr>
              <w:rPr>
                <w:rFonts w:ascii="Arial" w:hAnsi="Arial" w:cs="Arial"/>
                <w:sz w:val="18"/>
                <w:szCs w:val="18"/>
              </w:rPr>
            </w:pPr>
            <w:r w:rsidRPr="00BC3709">
              <w:rPr>
                <w:rFonts w:ascii="Arial" w:hAnsi="Arial" w:cs="Arial"/>
                <w:sz w:val="18"/>
                <w:szCs w:val="18"/>
              </w:rPr>
              <w:t>55.1</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85</w:t>
            </w:r>
          </w:p>
          <w:p w:rsidR="000F5964" w:rsidRPr="00BC3709" w:rsidRDefault="000F5964" w:rsidP="007B0DD7">
            <w:pPr>
              <w:rPr>
                <w:rFonts w:ascii="Arial" w:hAnsi="Arial" w:cs="Arial"/>
                <w:sz w:val="18"/>
                <w:szCs w:val="18"/>
              </w:rPr>
            </w:pPr>
            <w:r w:rsidRPr="00BC3709">
              <w:rPr>
                <w:rFonts w:ascii="Arial" w:hAnsi="Arial" w:cs="Arial"/>
                <w:sz w:val="18"/>
                <w:szCs w:val="18"/>
              </w:rPr>
              <w:t>24</w:t>
            </w:r>
          </w:p>
        </w:tc>
        <w:tc>
          <w:tcPr>
            <w:tcW w:w="1920"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NR</w:t>
            </w:r>
          </w:p>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78.4</w:t>
            </w:r>
          </w:p>
        </w:tc>
        <w:tc>
          <w:tcPr>
            <w:tcW w:w="2557"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100</w:t>
            </w:r>
          </w:p>
          <w:p w:rsidR="000F5964" w:rsidRPr="00BC3709" w:rsidRDefault="000F5964" w:rsidP="007B0DD7">
            <w:pPr>
              <w:rPr>
                <w:rFonts w:ascii="Arial" w:hAnsi="Arial" w:cs="Arial"/>
                <w:sz w:val="18"/>
                <w:szCs w:val="18"/>
              </w:rPr>
            </w:pPr>
            <w:r w:rsidRPr="00BC3709">
              <w:rPr>
                <w:rFonts w:ascii="Arial" w:hAnsi="Arial" w:cs="Arial"/>
                <w:sz w:val="18"/>
                <w:szCs w:val="18"/>
              </w:rPr>
              <w:t>DES-99%</w:t>
            </w:r>
          </w:p>
          <w:p w:rsidR="000F5964" w:rsidRPr="00BC3709" w:rsidRDefault="000F5964" w:rsidP="007B0DD7">
            <w:pPr>
              <w:rPr>
                <w:rFonts w:ascii="Arial" w:hAnsi="Arial" w:cs="Arial"/>
                <w:sz w:val="18"/>
                <w:szCs w:val="18"/>
              </w:rPr>
            </w:pPr>
            <w:r w:rsidRPr="00BC3709">
              <w:rPr>
                <w:rFonts w:ascii="Arial" w:hAnsi="Arial" w:cs="Arial"/>
                <w:sz w:val="18"/>
                <w:szCs w:val="18"/>
              </w:rPr>
              <w:t>NR</w:t>
            </w:r>
          </w:p>
        </w:tc>
        <w:tc>
          <w:tcPr>
            <w:tcW w:w="1423"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Elective PCI for CAD</w:t>
            </w:r>
          </w:p>
        </w:tc>
        <w:tc>
          <w:tcPr>
            <w:tcW w:w="145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LD clopidogrel 600 mg 2 h pre PCI, 100 mg aspirin intake ; Additionally 250 mg acetylsalicylic acid i.v. directly before stent placement</w:t>
            </w:r>
          </w:p>
          <w:p w:rsidR="000F5964" w:rsidRPr="00BC3709" w:rsidRDefault="000F5964" w:rsidP="007B0DD7">
            <w:pPr>
              <w:rPr>
                <w:rFonts w:ascii="Arial" w:hAnsi="Arial" w:cs="Arial"/>
                <w:sz w:val="18"/>
                <w:szCs w:val="18"/>
              </w:rPr>
            </w:pPr>
            <w:r w:rsidRPr="00BC3709">
              <w:rPr>
                <w:rFonts w:ascii="Arial" w:hAnsi="Arial" w:cs="Arial"/>
                <w:sz w:val="18"/>
                <w:szCs w:val="18"/>
              </w:rPr>
              <w:t>MD: 75 mg clopidogrel; 100 mg aspirin for 12 months</w:t>
            </w:r>
          </w:p>
        </w:tc>
        <w:tc>
          <w:tcPr>
            <w:tcW w:w="1849" w:type="dxa"/>
            <w:shd w:val="clear" w:color="auto" w:fill="auto"/>
          </w:tcPr>
          <w:p w:rsidR="000F5964" w:rsidRPr="00BC3709" w:rsidRDefault="000F5964" w:rsidP="007B0DD7">
            <w:pPr>
              <w:rPr>
                <w:rFonts w:ascii="Arial" w:hAnsi="Arial" w:cs="Arial"/>
                <w:sz w:val="18"/>
                <w:szCs w:val="18"/>
              </w:rPr>
            </w:pPr>
            <w:r w:rsidRPr="00BC3709">
              <w:rPr>
                <w:rFonts w:ascii="Arial" w:hAnsi="Arial" w:cs="Arial"/>
                <w:sz w:val="18"/>
                <w:szCs w:val="18"/>
              </w:rPr>
              <w:t>unfractionated heparin 100 IU/kg before PCI</w:t>
            </w:r>
          </w:p>
        </w:tc>
      </w:tr>
    </w:tbl>
    <w:p w:rsidR="000F5964" w:rsidRPr="0069565C" w:rsidRDefault="000F5964" w:rsidP="000F5964">
      <w:pPr>
        <w:pStyle w:val="TableNote"/>
      </w:pPr>
      <w:r>
        <w:t>*</w:t>
      </w:r>
      <w:r w:rsidRPr="0038597D">
        <w:t>Mean (standard deviation), unless otherwise stated.</w:t>
      </w:r>
      <w:r>
        <w:br/>
      </w:r>
      <w:r w:rsidRPr="0038597D">
        <w:rPr>
          <w:b/>
        </w:rPr>
        <w:t>Abbreviations:</w:t>
      </w:r>
      <w:r>
        <w:t xml:space="preserve"> </w:t>
      </w:r>
      <w:r w:rsidRPr="0069565C">
        <w:t>ACS = acute coronary syndrome; AMI = acute myocardial infarction; BMS=Bare metal stents; BP = blood pressure; CABG = coronary artery bypass grafting; CAD = coronary artery disease; DES=Drug eluting stent; HTN = hypertension, MI = myocardial infarction; NSTEMI = non-ST-elevation MI; PAD = peripheral artery disease; PCI = percutaneous coronary intervention; STEMI = ST-elevation MI; T</w:t>
      </w:r>
      <w:r>
        <w:t>IA = transient ischemic attack</w:t>
      </w:r>
    </w:p>
    <w:p w:rsidR="00E60974" w:rsidRPr="000F5964" w:rsidRDefault="00E60974" w:rsidP="000F5964">
      <w:bookmarkStart w:id="0" w:name="_GoBack"/>
      <w:bookmarkEnd w:id="0"/>
    </w:p>
    <w:sectPr w:rsidR="00E60974" w:rsidRPr="000F5964" w:rsidSect="00D969F8">
      <w:footerReference w:type="default" r:id="rId8"/>
      <w:pgSz w:w="15840" w:h="12240" w:orient="landscape"/>
      <w:pgMar w:top="1440" w:right="1440" w:bottom="1440" w:left="1440" w:header="720" w:footer="720" w:gutter="0"/>
      <w:pgNumType w:start="4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E2" w:rsidRDefault="004A10E2" w:rsidP="00FC3BBE">
      <w:r>
        <w:separator/>
      </w:r>
    </w:p>
  </w:endnote>
  <w:endnote w:type="continuationSeparator" w:id="0">
    <w:p w:rsidR="004A10E2" w:rsidRDefault="004A10E2"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0F5964">
          <w:rPr>
            <w:rFonts w:ascii="Times New Roman" w:hAnsi="Times New Roman"/>
            <w:noProof/>
            <w:sz w:val="24"/>
            <w:szCs w:val="24"/>
          </w:rPr>
          <w:t>454</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E2" w:rsidRDefault="004A10E2" w:rsidP="00FC3BBE">
      <w:r>
        <w:separator/>
      </w:r>
    </w:p>
  </w:footnote>
  <w:footnote w:type="continuationSeparator" w:id="0">
    <w:p w:rsidR="004A10E2" w:rsidRDefault="004A10E2"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0F5964"/>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10E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969F8"/>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DFBCFCF-199B-401F-877F-7D57BDE6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59B6-F97F-4B1B-BFC0-C728144F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5</cp:revision>
  <cp:lastPrinted>2013-09-19T14:49:00Z</cp:lastPrinted>
  <dcterms:created xsi:type="dcterms:W3CDTF">2013-09-27T03:34:00Z</dcterms:created>
  <dcterms:modified xsi:type="dcterms:W3CDTF">2014-08-21T17:27:00Z</dcterms:modified>
</cp:coreProperties>
</file>