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  <w:szCs w:val="16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  <w:szCs w:val="16"/>
        </w:rPr>
        <w:t xml:space="preserve">Appendix Table E22. Results from the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ingle </w:t>
      </w:r>
      <w:r>
        <w:rPr>
          <w:rFonts w:ascii="Arial" w:hAnsi="Arial" w:cs="Arial"/>
          <w:b/>
          <w:sz w:val="20"/>
          <w:szCs w:val="16"/>
        </w:rPr>
        <w:t>s</w:t>
      </w:r>
      <w:r w:rsidRPr="0069565C">
        <w:rPr>
          <w:rFonts w:ascii="Arial" w:hAnsi="Arial" w:cs="Arial"/>
          <w:b/>
          <w:sz w:val="20"/>
          <w:szCs w:val="16"/>
        </w:rPr>
        <w:t xml:space="preserve">tudy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ssessing the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bility of LTA to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redict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latelet </w:t>
      </w:r>
      <w:r>
        <w:rPr>
          <w:rFonts w:ascii="Arial" w:hAnsi="Arial" w:cs="Arial"/>
          <w:b/>
          <w:sz w:val="20"/>
          <w:szCs w:val="16"/>
        </w:rPr>
        <w:t>r</w:t>
      </w:r>
      <w:r w:rsidRPr="0069565C">
        <w:rPr>
          <w:rFonts w:ascii="Arial" w:hAnsi="Arial" w:cs="Arial"/>
          <w:b/>
          <w:sz w:val="20"/>
          <w:szCs w:val="16"/>
        </w:rPr>
        <w:t xml:space="preserve">eactivity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 xml:space="preserve">uring </w:t>
      </w:r>
      <w:r>
        <w:rPr>
          <w:rFonts w:ascii="Arial" w:hAnsi="Arial" w:cs="Arial"/>
          <w:b/>
          <w:sz w:val="20"/>
          <w:szCs w:val="16"/>
        </w:rPr>
        <w:t>f</w:t>
      </w:r>
      <w:r w:rsidRPr="0069565C">
        <w:rPr>
          <w:rFonts w:ascii="Arial" w:hAnsi="Arial" w:cs="Arial"/>
          <w:b/>
          <w:sz w:val="20"/>
          <w:szCs w:val="16"/>
        </w:rPr>
        <w:t>ollowup (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 xml:space="preserve">iscrete </w:t>
      </w:r>
      <w:r>
        <w:rPr>
          <w:rFonts w:ascii="Arial" w:hAnsi="Arial" w:cs="Arial"/>
          <w:b/>
          <w:sz w:val="20"/>
          <w:szCs w:val="16"/>
        </w:rPr>
        <w:t>o</w:t>
      </w:r>
      <w:r w:rsidRPr="0069565C">
        <w:rPr>
          <w:rFonts w:ascii="Arial" w:hAnsi="Arial" w:cs="Arial"/>
          <w:b/>
          <w:sz w:val="20"/>
          <w:szCs w:val="16"/>
        </w:rPr>
        <w:t xml:space="preserve">utcome) in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atients with </w:t>
      </w:r>
      <w:r>
        <w:rPr>
          <w:rFonts w:ascii="Arial" w:hAnsi="Arial" w:cs="Arial"/>
          <w:b/>
          <w:sz w:val="20"/>
          <w:szCs w:val="16"/>
        </w:rPr>
        <w:t>p</w:t>
      </w:r>
      <w:r w:rsidRPr="0069565C">
        <w:rPr>
          <w:rFonts w:ascii="Arial" w:hAnsi="Arial" w:cs="Arial"/>
          <w:b/>
          <w:sz w:val="20"/>
          <w:szCs w:val="16"/>
        </w:rPr>
        <w:t xml:space="preserve">eripheral </w:t>
      </w:r>
      <w:r>
        <w:rPr>
          <w:rFonts w:ascii="Arial" w:hAnsi="Arial" w:cs="Arial"/>
          <w:b/>
          <w:sz w:val="20"/>
          <w:szCs w:val="16"/>
        </w:rPr>
        <w:t>a</w:t>
      </w:r>
      <w:r w:rsidRPr="0069565C">
        <w:rPr>
          <w:rFonts w:ascii="Arial" w:hAnsi="Arial" w:cs="Arial"/>
          <w:b/>
          <w:sz w:val="20"/>
          <w:szCs w:val="16"/>
        </w:rPr>
        <w:t xml:space="preserve">rtery </w:t>
      </w:r>
      <w:r>
        <w:rPr>
          <w:rFonts w:ascii="Arial" w:hAnsi="Arial" w:cs="Arial"/>
          <w:b/>
          <w:sz w:val="20"/>
          <w:szCs w:val="16"/>
        </w:rPr>
        <w:t>d</w:t>
      </w:r>
      <w:r w:rsidRPr="0069565C">
        <w:rPr>
          <w:rFonts w:ascii="Arial" w:hAnsi="Arial" w:cs="Arial"/>
          <w:b/>
          <w:sz w:val="20"/>
          <w:szCs w:val="16"/>
        </w:rPr>
        <w:t>isease</w:t>
      </w:r>
    </w:p>
    <w:tbl>
      <w:tblPr>
        <w:tblW w:w="14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5"/>
        <w:gridCol w:w="990"/>
        <w:gridCol w:w="900"/>
        <w:gridCol w:w="810"/>
        <w:gridCol w:w="810"/>
        <w:gridCol w:w="1064"/>
        <w:gridCol w:w="1686"/>
        <w:gridCol w:w="1190"/>
        <w:gridCol w:w="720"/>
        <w:gridCol w:w="720"/>
        <w:gridCol w:w="664"/>
        <w:gridCol w:w="566"/>
        <w:gridCol w:w="970"/>
        <w:gridCol w:w="925"/>
        <w:gridCol w:w="831"/>
        <w:gridCol w:w="674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 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Reactivity Outcome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106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68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11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HPR+ or HPR-)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Cut-off</w:t>
            </w:r>
          </w:p>
        </w:tc>
        <w:tc>
          <w:tcPr>
            <w:tcW w:w="66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56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970" w:type="dxa"/>
            <w:shd w:val="clear" w:color="auto" w:fill="auto"/>
          </w:tcPr>
          <w:p w:rsidR="00E60974" w:rsidRPr="0069565C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925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3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7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Linnemann, 2010{Linnemann, 2010 82 /id} 20153859 GermanyNR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 MD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Non-responsiveness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Late aggregation ≥42.9%</w:t>
            </w: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median 17.5 months</w:t>
            </w:r>
          </w:p>
        </w:tc>
        <w:tc>
          <w:tcPr>
            <w:tcW w:w="16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Non-responsiveness </w:t>
            </w:r>
          </w:p>
        </w:tc>
        <w:tc>
          <w:tcPr>
            <w:tcW w:w="11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Non-responsiveness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 42.5%</w:t>
            </w: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 (fisher’s exact calculated from data)</w:t>
            </w: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7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Non-responsiveness</w:t>
            </w:r>
          </w:p>
        </w:tc>
        <w:tc>
          <w:tcPr>
            <w:tcW w:w="11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Responsiveness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Responsiveness </w:t>
            </w:r>
          </w:p>
        </w:tc>
        <w:tc>
          <w:tcPr>
            <w:tcW w:w="11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Non-responsiveness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26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Responsiveness </w:t>
            </w:r>
          </w:p>
        </w:tc>
        <w:tc>
          <w:tcPr>
            <w:tcW w:w="119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Responsiveness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E9264D" w:rsidP="00E9264D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91" w:rsidRDefault="00EB5291" w:rsidP="00FC3BBE">
      <w:r>
        <w:separator/>
      </w:r>
    </w:p>
  </w:endnote>
  <w:endnote w:type="continuationSeparator" w:id="0">
    <w:p w:rsidR="00EB5291" w:rsidRDefault="00EB529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E9264D">
          <w:rPr>
            <w:rFonts w:ascii="Times New Roman" w:hAnsi="Times New Roman"/>
            <w:sz w:val="24"/>
            <w:szCs w:val="24"/>
          </w:rPr>
          <w:t>235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91" w:rsidRDefault="00EB5291" w:rsidP="00FC3BBE">
      <w:r>
        <w:separator/>
      </w:r>
    </w:p>
  </w:footnote>
  <w:footnote w:type="continuationSeparator" w:id="0">
    <w:p w:rsidR="00EB5291" w:rsidRDefault="00EB529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264D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B5291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8F83-DF36-4532-AB67-18BA6094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2013-11-09T11:01:00Z</dcterms:modified>
</cp:coreProperties>
</file>