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92" w:rsidRPr="00537B92" w:rsidRDefault="00537B92" w:rsidP="00537B92">
      <w:pPr>
        <w:keepNext/>
        <w:spacing w:before="240" w:after="60"/>
        <w:jc w:val="center"/>
        <w:outlineLvl w:val="0"/>
        <w:rPr>
          <w:rFonts w:ascii="Arial" w:hAnsi="Arial"/>
          <w:b/>
          <w:bCs/>
          <w:sz w:val="36"/>
          <w:szCs w:val="24"/>
        </w:rPr>
      </w:pPr>
      <w:r w:rsidRPr="00537B92">
        <w:rPr>
          <w:rFonts w:ascii="Arial" w:hAnsi="Arial"/>
          <w:b/>
          <w:bCs/>
          <w:sz w:val="36"/>
          <w:szCs w:val="24"/>
        </w:rPr>
        <w:t>Appendix E. Appendix Tables for Key Question 2</w:t>
      </w:r>
    </w:p>
    <w:p w:rsidR="00537B92" w:rsidRPr="00537B92" w:rsidRDefault="00537B92" w:rsidP="00537B92">
      <w:pPr>
        <w:keepNext/>
        <w:spacing w:before="240"/>
        <w:rPr>
          <w:rFonts w:ascii="Arial" w:eastAsia="Times New Roman" w:hAnsi="Arial"/>
          <w:b/>
          <w:color w:val="000000"/>
          <w:sz w:val="20"/>
          <w:szCs w:val="24"/>
        </w:rPr>
      </w:pPr>
      <w:r w:rsidRPr="00537B92">
        <w:rPr>
          <w:rFonts w:ascii="Arial" w:eastAsia="Times New Roman" w:hAnsi="Arial"/>
          <w:b/>
          <w:color w:val="000000"/>
          <w:sz w:val="20"/>
          <w:szCs w:val="24"/>
        </w:rPr>
        <w:t>Appendix Table E1. Descriptive characteristics of studies reporting analytic validity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180"/>
        <w:gridCol w:w="1576"/>
        <w:gridCol w:w="2046"/>
        <w:gridCol w:w="1467"/>
        <w:gridCol w:w="1625"/>
        <w:gridCol w:w="1660"/>
        <w:gridCol w:w="1631"/>
        <w:gridCol w:w="1833"/>
      </w:tblGrid>
      <w:tr w:rsidR="00537B92" w:rsidRPr="00537B92" w:rsidTr="007B0DD7">
        <w:trPr>
          <w:cantSplit/>
          <w:tblHeader/>
        </w:trPr>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Author</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Year</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Country</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PMID</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Patient population</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Assays evaluated</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(agonist)</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[brand name, manufacturer]</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Test timing</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Treatment preceding testing</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Study design for the assessment of analytic validity</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Sample size</w:t>
            </w:r>
          </w:p>
          <w:p w:rsidR="00537B92" w:rsidRPr="00537B92" w:rsidRDefault="00537B92" w:rsidP="00537B92">
            <w:pPr>
              <w:jc w:val="center"/>
              <w:rPr>
                <w:rFonts w:ascii="Arial" w:hAnsi="Arial" w:cs="Arial"/>
                <w:b/>
                <w:sz w:val="18"/>
                <w:szCs w:val="18"/>
              </w:rPr>
            </w:pPr>
            <w:r w:rsidRPr="00537B92">
              <w:rPr>
                <w:rFonts w:ascii="Arial" w:hAnsi="Arial" w:cs="Arial"/>
                <w:b/>
                <w:sz w:val="18"/>
                <w:szCs w:val="18"/>
              </w:rPr>
              <w:t>(measurements performed and included in analyses)</w:t>
            </w:r>
          </w:p>
        </w:tc>
        <w:tc>
          <w:tcPr>
            <w:tcW w:w="0" w:type="auto"/>
          </w:tcPr>
          <w:p w:rsidR="00537B92" w:rsidRPr="00537B92" w:rsidRDefault="00537B92" w:rsidP="00537B92">
            <w:pPr>
              <w:jc w:val="center"/>
              <w:rPr>
                <w:rFonts w:ascii="Arial" w:hAnsi="Arial" w:cs="Arial"/>
                <w:b/>
                <w:sz w:val="18"/>
                <w:szCs w:val="18"/>
              </w:rPr>
            </w:pPr>
            <w:r w:rsidRPr="00537B92">
              <w:rPr>
                <w:rFonts w:ascii="Arial" w:hAnsi="Arial" w:cs="Arial"/>
                <w:b/>
                <w:sz w:val="18"/>
                <w:szCs w:val="18"/>
              </w:rPr>
              <w:t>Results</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Michelson</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USA</w:t>
            </w:r>
          </w:p>
          <w:p w:rsidR="00537B92" w:rsidRPr="00537B92" w:rsidRDefault="00537B92" w:rsidP="00537B92">
            <w:pPr>
              <w:rPr>
                <w:rFonts w:ascii="Arial" w:hAnsi="Arial" w:cs="Arial"/>
                <w:sz w:val="18"/>
                <w:szCs w:val="18"/>
              </w:rPr>
            </w:pPr>
            <w:r w:rsidRPr="00537B92">
              <w:rPr>
                <w:rFonts w:ascii="Arial" w:hAnsi="Arial" w:cs="Arial"/>
                <w:sz w:val="18"/>
                <w:szCs w:val="18"/>
              </w:rPr>
              <w:t>19435740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with ACS scheduled for PCI in the TRITON-TIMI 38 trial. Patients who had received abciximab within 30 d, or tirofiban or eptifibatide within 7 d of testing, were excluded from the LTA component of the study.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[BioCytex, Marseilles, France]; using flow cytometry [FACSCalibur, Becton Dickinson, San Jose, California]</w:t>
            </w:r>
          </w:p>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w:t>
            </w:r>
            <w:r w:rsidRPr="00537B92">
              <w:rPr>
                <w:rFonts w:ascii="Arial" w:hAnsi="Arial" w:cs="Arial"/>
                <w:sz w:val="18"/>
                <w:szCs w:val="18"/>
                <w:lang w:val="el-GR"/>
              </w:rPr>
              <w:t>μ</w:t>
            </w:r>
            <w:r w:rsidRPr="00537B92">
              <w:rPr>
                <w:rFonts w:ascii="Arial" w:hAnsi="Arial" w:cs="Arial"/>
                <w:sz w:val="18"/>
                <w:szCs w:val="18"/>
              </w:rPr>
              <w:t xml:space="preserve">mol/L and 20 </w:t>
            </w:r>
            <w:r w:rsidRPr="00537B92">
              <w:rPr>
                <w:rFonts w:ascii="Arial" w:hAnsi="Arial" w:cs="Arial"/>
                <w:sz w:val="18"/>
                <w:szCs w:val="18"/>
                <w:lang w:val="el-GR"/>
              </w:rPr>
              <w:t>μ</w:t>
            </w:r>
            <w:r w:rsidRPr="00537B92">
              <w:rPr>
                <w:rFonts w:ascii="Arial" w:hAnsi="Arial" w:cs="Arial"/>
                <w:sz w:val="18"/>
                <w:szCs w:val="18"/>
              </w:rPr>
              <w:t xml:space="preserve">mol/L) </w:t>
            </w:r>
          </w:p>
          <w:p w:rsidR="00537B92" w:rsidRPr="00537B92" w:rsidRDefault="00537B92" w:rsidP="00537B92">
            <w:pPr>
              <w:rPr>
                <w:rFonts w:ascii="Arial" w:hAnsi="Arial" w:cs="Arial"/>
                <w:sz w:val="18"/>
                <w:szCs w:val="18"/>
              </w:rPr>
            </w:pPr>
            <w:r w:rsidRPr="00537B92">
              <w:rPr>
                <w:rFonts w:ascii="Arial" w:hAnsi="Arial" w:cs="Arial"/>
                <w:sz w:val="18"/>
                <w:szCs w:val="18"/>
              </w:rPr>
              <w:t>[not reported]</w:t>
            </w:r>
          </w:p>
          <w:p w:rsidR="00537B92" w:rsidRPr="00537B92" w:rsidRDefault="00537B92" w:rsidP="00537B92">
            <w:pPr>
              <w:rPr>
                <w:rFonts w:ascii="Arial" w:hAnsi="Arial" w:cs="Arial"/>
                <w:sz w:val="18"/>
                <w:szCs w:val="18"/>
              </w:rPr>
            </w:pP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collected at 3 timepoints: at baseline (pre-PCI, pre-study drug); 1-2 h post PCI (at least 1 h after dosing); and at 30 d post-PCI.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 loading dose of the study medication (1:1 randomization; prasugrel 60 mg or clopidogrel 300 mg) was administered between randomization and 1 h after leaving the catheterization laboratory. Pretreatment with the study drug was permitted for up to 24 h pre-PCI. Adjunctive medication was left at the discretion of the treating physician. After PCI patients received maintenance doses of prasugrel (10 mg) or clopidogrel (75 mg). Aspirin use was required (recommended 325-500 mg loading dose; 75-162 mg maintenance dose).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All 13 participating sites sent samples for the VASP phosphorylation assay; 3 pre-selected sites performed LTA on site.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125 using the VASP assay; of these 31 were also evaluated with LTA (both ADP concentrations). Measurements at baseline, 1-2 h post PCI, and 30 days (clopidogrel and prasugrel treated subjects) were analyzed together and observations were treated as independent.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Relative risk for identifying responders between VASP assay and MPA (20 </w:t>
            </w:r>
            <w:r w:rsidRPr="00537B92">
              <w:rPr>
                <w:rFonts w:ascii="Arial" w:hAnsi="Arial" w:cs="Arial"/>
                <w:sz w:val="18"/>
                <w:szCs w:val="18"/>
                <w:lang w:val="el-GR"/>
              </w:rPr>
              <w:t>μ</w:t>
            </w:r>
            <w:r w:rsidRPr="00537B92">
              <w:rPr>
                <w:rFonts w:ascii="Arial" w:hAnsi="Arial" w:cs="Arial"/>
                <w:sz w:val="18"/>
                <w:szCs w:val="18"/>
              </w:rPr>
              <w:t>mol/L) = 5.25 (95% CI 2.34, 11.75)</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Paniccia</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19461090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admitted to the coronary care of a single center unit for ACS; all patients underwent coronary angiography and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[APACT-4004 aggregometer, LABiTec, Ahrensburg,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(collagen/ADP)</w:t>
            </w:r>
          </w:p>
          <w:p w:rsidR="00537B92" w:rsidRPr="00537B92" w:rsidRDefault="00537B92" w:rsidP="00537B92">
            <w:pPr>
              <w:rPr>
                <w:rFonts w:ascii="Arial" w:hAnsi="Arial" w:cs="Arial"/>
                <w:sz w:val="18"/>
                <w:szCs w:val="18"/>
              </w:rPr>
            </w:pPr>
            <w:r w:rsidRPr="00537B92">
              <w:rPr>
                <w:rFonts w:ascii="Arial" w:hAnsi="Arial" w:cs="Arial"/>
                <w:sz w:val="18"/>
                <w:szCs w:val="18"/>
              </w:rPr>
              <w:t>[PFA-100, Dade-Behring, Marburg, Germany]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collected 24-48 h after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 loading dose of aspirin (500 mg IV) and oral clopidogrel (600 mg), followed by daily aspirin (325 mg) and clopidogrel (75 mg). During the procedure patients received UFH.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Measurements of samples with 3 techniques and different agonists; ROC analysis to identify optimal cut-offs for the Multiplate analyzer and PFA-100, using LTA as the reference method; 50 datapoints (10 measurements in each of 5 patient samples) for LTA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Multiplate analyzer and LTA (ADP as agonist): 297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Multiplate analyzer and PFA-100 (ADP as agonist): 111</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for residual platelet reactivity between the Multiplate analyzer and LTA (ADP as agonist): kappa = 0.74 (95% CI 0.64, 0.84); P&lt;0.001</w:t>
            </w:r>
          </w:p>
          <w:p w:rsidR="00537B92" w:rsidRPr="00537B92" w:rsidRDefault="00537B92" w:rsidP="00537B92">
            <w:pPr>
              <w:rPr>
                <w:rFonts w:ascii="Arial" w:hAnsi="Arial" w:cs="Arial"/>
                <w:sz w:val="18"/>
                <w:szCs w:val="18"/>
              </w:rPr>
            </w:pPr>
            <w:r w:rsidRPr="00537B92">
              <w:rPr>
                <w:rFonts w:ascii="Arial" w:hAnsi="Arial" w:cs="Arial"/>
                <w:sz w:val="18"/>
                <w:szCs w:val="18"/>
              </w:rPr>
              <w:t>Agreement for residual platelet reactivity between the Multiplate analyzer and PFA-100 (ADP as agonist): kappa = 0.19; P = NS</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analytic test performance (using LTA as the reference test, ADP as the agonist): sensitivity = 0.78 (95% CI 0.68, 0.89); specificity = 0.95 (95% CI 0.92, 0.98); accuracy = 0.92 (95% CI NR); PPV = 0.80 (95% CI 0.69, 0.90); NPV = 0.95 (95% CI 0.92, 0.97)</w:t>
            </w:r>
          </w:p>
          <w:p w:rsidR="00537B92" w:rsidRPr="00537B92" w:rsidRDefault="00537B92" w:rsidP="00537B92">
            <w:pPr>
              <w:rPr>
                <w:rFonts w:ascii="Arial" w:hAnsi="Arial" w:cs="Arial"/>
                <w:sz w:val="18"/>
                <w:szCs w:val="18"/>
              </w:rPr>
            </w:pPr>
            <w:r w:rsidRPr="00537B92">
              <w:rPr>
                <w:rFonts w:ascii="Arial" w:hAnsi="Arial" w:cs="Arial"/>
                <w:sz w:val="18"/>
                <w:szCs w:val="18"/>
              </w:rPr>
              <w:t>ROC analysis for the Multiplate analyzer for detecting residual platelet reactivity on LTA (ADP as agonist): AUC = 0.93 (95% CI 0.89, 0.96); P&lt;0.001</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Oestreich</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USA</w:t>
            </w:r>
          </w:p>
          <w:p w:rsidR="00537B92" w:rsidRPr="00537B92" w:rsidRDefault="00537B92" w:rsidP="00537B92">
            <w:pPr>
              <w:rPr>
                <w:rFonts w:ascii="Arial" w:hAnsi="Arial" w:cs="Arial"/>
                <w:sz w:val="18"/>
                <w:szCs w:val="18"/>
              </w:rPr>
            </w:pPr>
            <w:r w:rsidRPr="00537B92">
              <w:rPr>
                <w:rFonts w:ascii="Arial" w:hAnsi="Arial" w:cs="Arial"/>
                <w:sz w:val="18"/>
                <w:szCs w:val="18"/>
              </w:rPr>
              <w:t>19318928</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with CAD from a single center outpatient cardiology clinic on dual antiplatelet therapy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[570VS aggregometer, Chrono-Log, Havertown, Pennsylvania]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additional details NR]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At baseline; days 30 and 60 after enrollment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At baseline patients were receiving daily clopidogrel (75 mg) and aspirin (81-325 mg); clopidogrel was then increased to 150 mg for 30 d; after that, clopidogrel dosing at 75 mg was resumed for another 30 d (total duration of the study = 60 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assays and different agonists, using predefined cut-offs for poor response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20 subjects measured 3 times (different timepoints)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PRU and MPA (LTA, ADP 5 </w:t>
            </w:r>
            <w:r w:rsidRPr="00537B92">
              <w:rPr>
                <w:rFonts w:ascii="Arial" w:hAnsi="Arial" w:cs="Arial"/>
                <w:sz w:val="18"/>
                <w:szCs w:val="18"/>
                <w:lang w:val="el-GR"/>
              </w:rPr>
              <w:t>μ</w:t>
            </w:r>
            <w:r w:rsidRPr="00537B92">
              <w:rPr>
                <w:rFonts w:ascii="Arial" w:hAnsi="Arial" w:cs="Arial"/>
                <w:sz w:val="18"/>
                <w:szCs w:val="18"/>
              </w:rPr>
              <w:t>M): kappa = 0.85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PRU and MPA (LTA, ADP 20 </w:t>
            </w:r>
            <w:r w:rsidRPr="00537B92">
              <w:rPr>
                <w:rFonts w:ascii="Arial" w:hAnsi="Arial" w:cs="Arial"/>
                <w:sz w:val="18"/>
                <w:szCs w:val="18"/>
                <w:lang w:val="el-GR"/>
              </w:rPr>
              <w:t>μ</w:t>
            </w:r>
            <w:r w:rsidRPr="00537B92">
              <w:rPr>
                <w:rFonts w:ascii="Arial" w:hAnsi="Arial" w:cs="Arial"/>
                <w:sz w:val="18"/>
                <w:szCs w:val="18"/>
              </w:rPr>
              <w:t>M): kappa = 0.46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PRU and RPA (LTA, ADP 5 </w:t>
            </w:r>
            <w:r w:rsidRPr="00537B92">
              <w:rPr>
                <w:rFonts w:ascii="Arial" w:hAnsi="Arial" w:cs="Arial"/>
                <w:sz w:val="18"/>
                <w:szCs w:val="18"/>
                <w:lang w:val="el-GR"/>
              </w:rPr>
              <w:t>μ</w:t>
            </w:r>
            <w:r w:rsidRPr="00537B92">
              <w:rPr>
                <w:rFonts w:ascii="Arial" w:hAnsi="Arial" w:cs="Arial"/>
                <w:sz w:val="18"/>
                <w:szCs w:val="18"/>
              </w:rPr>
              <w:t>M): kappa = 1.00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PRU and RPA (LTA, ADP 20 </w:t>
            </w:r>
            <w:r w:rsidRPr="00537B92">
              <w:rPr>
                <w:rFonts w:ascii="Arial" w:hAnsi="Arial" w:cs="Arial"/>
                <w:sz w:val="18"/>
                <w:szCs w:val="18"/>
                <w:lang w:val="el-GR"/>
              </w:rPr>
              <w:t>μ</w:t>
            </w:r>
            <w:r w:rsidRPr="00537B92">
              <w:rPr>
                <w:rFonts w:ascii="Arial" w:hAnsi="Arial" w:cs="Arial"/>
                <w:sz w:val="18"/>
                <w:szCs w:val="18"/>
              </w:rPr>
              <w:t>M): kappa = 0.30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MPA (LTA, ADP 5 </w:t>
            </w:r>
            <w:r w:rsidRPr="00537B92">
              <w:rPr>
                <w:rFonts w:ascii="Arial" w:hAnsi="Arial" w:cs="Arial"/>
                <w:sz w:val="18"/>
                <w:szCs w:val="18"/>
                <w:lang w:val="el-GR"/>
              </w:rPr>
              <w:t>μ</w:t>
            </w:r>
            <w:r w:rsidRPr="00537B92">
              <w:rPr>
                <w:rFonts w:ascii="Arial" w:hAnsi="Arial" w:cs="Arial"/>
                <w:sz w:val="18"/>
                <w:szCs w:val="18"/>
              </w:rPr>
              <w:t xml:space="preserve">M) and MPA (LTA, 20 </w:t>
            </w:r>
            <w:r w:rsidRPr="00537B92">
              <w:rPr>
                <w:rFonts w:ascii="Arial" w:hAnsi="Arial" w:cs="Arial"/>
                <w:sz w:val="18"/>
                <w:szCs w:val="18"/>
                <w:lang w:val="el-GR"/>
              </w:rPr>
              <w:t>μΜ</w:t>
            </w:r>
            <w:r w:rsidRPr="00537B92">
              <w:rPr>
                <w:rFonts w:ascii="Arial" w:hAnsi="Arial" w:cs="Arial"/>
                <w:sz w:val="18"/>
                <w:szCs w:val="18"/>
              </w:rPr>
              <w:t>): kappa = 0.62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MPA (LTA, ADP 5 </w:t>
            </w:r>
            <w:r w:rsidRPr="00537B92">
              <w:rPr>
                <w:rFonts w:ascii="Arial" w:hAnsi="Arial" w:cs="Arial"/>
                <w:sz w:val="18"/>
                <w:szCs w:val="18"/>
                <w:lang w:val="el-GR"/>
              </w:rPr>
              <w:t>μ</w:t>
            </w:r>
            <w:r w:rsidRPr="00537B92">
              <w:rPr>
                <w:rFonts w:ascii="Arial" w:hAnsi="Arial" w:cs="Arial"/>
                <w:sz w:val="18"/>
                <w:szCs w:val="18"/>
              </w:rPr>
              <w:t xml:space="preserve">M) and RPA (LTA, 5 </w:t>
            </w:r>
            <w:r w:rsidRPr="00537B92">
              <w:rPr>
                <w:rFonts w:ascii="Arial" w:hAnsi="Arial" w:cs="Arial"/>
                <w:sz w:val="18"/>
                <w:szCs w:val="18"/>
                <w:lang w:val="el-GR"/>
              </w:rPr>
              <w:t>μΜ</w:t>
            </w:r>
            <w:r w:rsidRPr="00537B92">
              <w:rPr>
                <w:rFonts w:ascii="Arial" w:hAnsi="Arial" w:cs="Arial"/>
                <w:sz w:val="18"/>
                <w:szCs w:val="18"/>
              </w:rPr>
              <w:t>): kappa = 0.85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MPA (LTA, ADP 5 </w:t>
            </w:r>
            <w:r w:rsidRPr="00537B92">
              <w:rPr>
                <w:rFonts w:ascii="Arial" w:hAnsi="Arial" w:cs="Arial"/>
                <w:sz w:val="18"/>
                <w:szCs w:val="18"/>
                <w:lang w:val="el-GR"/>
              </w:rPr>
              <w:t>μ</w:t>
            </w:r>
            <w:r w:rsidRPr="00537B92">
              <w:rPr>
                <w:rFonts w:ascii="Arial" w:hAnsi="Arial" w:cs="Arial"/>
                <w:sz w:val="18"/>
                <w:szCs w:val="18"/>
              </w:rPr>
              <w:t xml:space="preserve">M) and RPA (LTA, 20 </w:t>
            </w:r>
            <w:r w:rsidRPr="00537B92">
              <w:rPr>
                <w:rFonts w:ascii="Arial" w:hAnsi="Arial" w:cs="Arial"/>
                <w:sz w:val="18"/>
                <w:szCs w:val="18"/>
                <w:lang w:val="el-GR"/>
              </w:rPr>
              <w:t>μΜ</w:t>
            </w:r>
            <w:r w:rsidRPr="00537B92">
              <w:rPr>
                <w:rFonts w:ascii="Arial" w:hAnsi="Arial" w:cs="Arial"/>
                <w:sz w:val="18"/>
                <w:szCs w:val="18"/>
              </w:rPr>
              <w:t>): kappa = 0.43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MPA (LTA, ADP 20 </w:t>
            </w:r>
            <w:r w:rsidRPr="00537B92">
              <w:rPr>
                <w:rFonts w:ascii="Arial" w:hAnsi="Arial" w:cs="Arial"/>
                <w:sz w:val="18"/>
                <w:szCs w:val="18"/>
                <w:lang w:val="el-GR"/>
              </w:rPr>
              <w:t>μ</w:t>
            </w:r>
            <w:r w:rsidRPr="00537B92">
              <w:rPr>
                <w:rFonts w:ascii="Arial" w:hAnsi="Arial" w:cs="Arial"/>
                <w:sz w:val="18"/>
                <w:szCs w:val="18"/>
              </w:rPr>
              <w:t xml:space="preserve">M) and RPA (LTA, 5 </w:t>
            </w:r>
            <w:r w:rsidRPr="00537B92">
              <w:rPr>
                <w:rFonts w:ascii="Arial" w:hAnsi="Arial" w:cs="Arial"/>
                <w:sz w:val="18"/>
                <w:szCs w:val="18"/>
                <w:lang w:val="el-GR"/>
              </w:rPr>
              <w:t>μΜ</w:t>
            </w:r>
            <w:r w:rsidRPr="00537B92">
              <w:rPr>
                <w:rFonts w:ascii="Arial" w:hAnsi="Arial" w:cs="Arial"/>
                <w:sz w:val="18"/>
                <w:szCs w:val="18"/>
              </w:rPr>
              <w:t>): kappa = 0.46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MPA (LTA, ADP 20 </w:t>
            </w:r>
            <w:r w:rsidRPr="00537B92">
              <w:rPr>
                <w:rFonts w:ascii="Arial" w:hAnsi="Arial" w:cs="Arial"/>
                <w:sz w:val="18"/>
                <w:szCs w:val="18"/>
                <w:lang w:val="el-GR"/>
              </w:rPr>
              <w:t>μ</w:t>
            </w:r>
            <w:r w:rsidRPr="00537B92">
              <w:rPr>
                <w:rFonts w:ascii="Arial" w:hAnsi="Arial" w:cs="Arial"/>
                <w:sz w:val="18"/>
                <w:szCs w:val="18"/>
              </w:rPr>
              <w:t xml:space="preserve">M) and RPA (LTA, 20 </w:t>
            </w:r>
            <w:r w:rsidRPr="00537B92">
              <w:rPr>
                <w:rFonts w:ascii="Arial" w:hAnsi="Arial" w:cs="Arial"/>
                <w:sz w:val="18"/>
                <w:szCs w:val="18"/>
                <w:lang w:val="el-GR"/>
              </w:rPr>
              <w:t>μΜ</w:t>
            </w:r>
            <w:r w:rsidRPr="00537B92">
              <w:rPr>
                <w:rFonts w:ascii="Arial" w:hAnsi="Arial" w:cs="Arial"/>
                <w:sz w:val="18"/>
                <w:szCs w:val="18"/>
              </w:rPr>
              <w:t>): kappa = 0.33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RPA (LTA, ADP 5 </w:t>
            </w:r>
            <w:r w:rsidRPr="00537B92">
              <w:rPr>
                <w:rFonts w:ascii="Arial" w:hAnsi="Arial" w:cs="Arial"/>
                <w:sz w:val="18"/>
                <w:szCs w:val="18"/>
                <w:lang w:val="el-GR"/>
              </w:rPr>
              <w:t>μ</w:t>
            </w:r>
            <w:r w:rsidRPr="00537B92">
              <w:rPr>
                <w:rFonts w:ascii="Arial" w:hAnsi="Arial" w:cs="Arial"/>
                <w:sz w:val="18"/>
                <w:szCs w:val="18"/>
              </w:rPr>
              <w:t xml:space="preserve">M) and RPA (LTA, 20 </w:t>
            </w:r>
            <w:r w:rsidRPr="00537B92">
              <w:rPr>
                <w:rFonts w:ascii="Arial" w:hAnsi="Arial" w:cs="Arial"/>
                <w:sz w:val="18"/>
                <w:szCs w:val="18"/>
                <w:lang w:val="el-GR"/>
              </w:rPr>
              <w:t>μΜ</w:t>
            </w:r>
            <w:r w:rsidRPr="00537B92">
              <w:rPr>
                <w:rFonts w:ascii="Arial" w:hAnsi="Arial" w:cs="Arial"/>
                <w:sz w:val="18"/>
                <w:szCs w:val="18"/>
              </w:rPr>
              <w:t>): kappa = 0.30</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Marcucci</w:t>
            </w:r>
          </w:p>
          <w:p w:rsidR="00537B92" w:rsidRPr="00537B92" w:rsidRDefault="00537B92" w:rsidP="00537B92">
            <w:pPr>
              <w:rPr>
                <w:rFonts w:ascii="Arial" w:hAnsi="Arial" w:cs="Arial"/>
                <w:sz w:val="18"/>
                <w:szCs w:val="18"/>
              </w:rPr>
            </w:pPr>
            <w:r w:rsidRPr="00537B92">
              <w:rPr>
                <w:rFonts w:ascii="Arial" w:hAnsi="Arial" w:cs="Arial"/>
                <w:sz w:val="18"/>
                <w:szCs w:val="18"/>
              </w:rPr>
              <w:t>2007</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17938810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STE MI admitted to a single center coronary care unit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 and 10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[APACT 4 aggregometer, Helena Laboratories Italia s.p.a., Milan, Italy]</w:t>
            </w:r>
          </w:p>
          <w:p w:rsidR="00537B92" w:rsidRPr="00537B92" w:rsidRDefault="00537B92" w:rsidP="00537B92">
            <w:pPr>
              <w:rPr>
                <w:rFonts w:ascii="Arial" w:hAnsi="Arial" w:cs="Arial"/>
                <w:sz w:val="18"/>
                <w:szCs w:val="18"/>
              </w:rPr>
            </w:pP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12-15 h after PCI for patients receiving aspirin + clopidogrel; 24 h after the infusion of abciximab for patients receiving aspirin + clopidogrel + IIb/IIIa inhibitor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All patients underwent angiography and primary PCI; 200 patients received aspirin (500 mg loading dose; 100 mg maintenance) + clopidogrel (300 mg loading dose; 75 mg maintenance) and 167 received aspirin (500 mg loading dose; 100 mg maintenance) + clopidogrel (300 mg loading dose; 75 mg maintenance) + IIb/IIIa inhibitor (abciximab bolus 0.25 mg/kg of body weight, followed by continuous infusion 0.125 </w:t>
            </w:r>
            <w:r w:rsidRPr="00537B92">
              <w:rPr>
                <w:rFonts w:ascii="Arial" w:hAnsi="Arial" w:cs="Arial"/>
                <w:sz w:val="18"/>
                <w:szCs w:val="18"/>
                <w:lang w:val="el-GR"/>
              </w:rPr>
              <w:t>μ</w:t>
            </w:r>
            <w:r w:rsidRPr="00537B92">
              <w:rPr>
                <w:rFonts w:ascii="Arial" w:hAnsi="Arial" w:cs="Arial"/>
                <w:sz w:val="18"/>
                <w:szCs w:val="18"/>
              </w:rPr>
              <w:t>g/kg/minute for 12 hours). All patients received UFH.</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LTA using alternative ADP concentrations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367 subjects measured with two agonist concentrations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LTA with ADP 2</w:t>
            </w:r>
            <w:r w:rsidRPr="00537B92">
              <w:rPr>
                <w:rFonts w:ascii="Arial" w:hAnsi="Arial" w:cs="Arial"/>
                <w:sz w:val="18"/>
                <w:szCs w:val="18"/>
                <w:lang w:val="el-GR"/>
              </w:rPr>
              <w:t>μ</w:t>
            </w:r>
            <w:r w:rsidRPr="00537B92">
              <w:rPr>
                <w:rFonts w:ascii="Arial" w:hAnsi="Arial" w:cs="Arial"/>
                <w:sz w:val="18"/>
                <w:szCs w:val="18"/>
              </w:rPr>
              <w:t xml:space="preserve">M and ADP 10 </w:t>
            </w:r>
            <w:r w:rsidRPr="00537B92">
              <w:rPr>
                <w:rFonts w:ascii="Arial" w:hAnsi="Arial" w:cs="Arial"/>
                <w:sz w:val="18"/>
                <w:szCs w:val="18"/>
                <w:lang w:val="el-GR"/>
              </w:rPr>
              <w:t>μ</w:t>
            </w:r>
            <w:r w:rsidRPr="00537B92">
              <w:rPr>
                <w:rFonts w:ascii="Arial" w:hAnsi="Arial" w:cs="Arial"/>
                <w:sz w:val="18"/>
                <w:szCs w:val="18"/>
              </w:rPr>
              <w:t xml:space="preserve">M: out of 367 measurements, 17 were positive by both tests; 279 were negative by both tests; 71 were positive with ADP 10 </w:t>
            </w:r>
            <w:r w:rsidRPr="00537B92">
              <w:rPr>
                <w:rFonts w:ascii="Arial" w:hAnsi="Arial" w:cs="Arial"/>
                <w:sz w:val="18"/>
                <w:szCs w:val="18"/>
                <w:lang w:val="el-GR"/>
              </w:rPr>
              <w:t>μ</w:t>
            </w:r>
            <w:r w:rsidRPr="00537B92">
              <w:rPr>
                <w:rFonts w:ascii="Arial" w:hAnsi="Arial" w:cs="Arial"/>
                <w:sz w:val="18"/>
                <w:szCs w:val="18"/>
              </w:rPr>
              <w:t xml:space="preserve">M but not ADP 2 </w:t>
            </w:r>
            <w:r w:rsidRPr="00537B92">
              <w:rPr>
                <w:rFonts w:ascii="Arial" w:hAnsi="Arial" w:cs="Arial"/>
                <w:sz w:val="18"/>
                <w:szCs w:val="18"/>
                <w:lang w:val="el-GR"/>
              </w:rPr>
              <w:t>μ</w:t>
            </w:r>
            <w:r w:rsidRPr="00537B92">
              <w:rPr>
                <w:rFonts w:ascii="Arial" w:hAnsi="Arial" w:cs="Arial"/>
                <w:sz w:val="18"/>
                <w:szCs w:val="18"/>
              </w:rPr>
              <w:t xml:space="preserve">M; none were positive with ADP 2 </w:t>
            </w:r>
            <w:r w:rsidRPr="00537B92">
              <w:rPr>
                <w:rFonts w:ascii="Arial" w:hAnsi="Arial" w:cs="Arial"/>
                <w:sz w:val="18"/>
                <w:szCs w:val="18"/>
                <w:lang w:val="el-GR"/>
              </w:rPr>
              <w:t>μ</w:t>
            </w:r>
            <w:r w:rsidRPr="00537B92">
              <w:rPr>
                <w:rFonts w:ascii="Arial" w:hAnsi="Arial" w:cs="Arial"/>
                <w:sz w:val="18"/>
                <w:szCs w:val="18"/>
              </w:rPr>
              <w:t xml:space="preserve">M but not ADP 10 </w:t>
            </w:r>
            <w:r w:rsidRPr="00537B92">
              <w:rPr>
                <w:rFonts w:ascii="Arial" w:hAnsi="Arial" w:cs="Arial"/>
                <w:sz w:val="18"/>
                <w:szCs w:val="18"/>
                <w:lang w:val="el-GR"/>
              </w:rPr>
              <w:t>μ</w:t>
            </w:r>
            <w:r w:rsidRPr="00537B92">
              <w:rPr>
                <w:rFonts w:ascii="Arial" w:hAnsi="Arial" w:cs="Arial"/>
                <w:sz w:val="18"/>
                <w:szCs w:val="18"/>
              </w:rPr>
              <w:t>M.</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Frere</w:t>
            </w:r>
          </w:p>
          <w:p w:rsidR="00537B92" w:rsidRPr="00537B92" w:rsidRDefault="00537B92" w:rsidP="00537B92">
            <w:pPr>
              <w:rPr>
                <w:rFonts w:ascii="Arial" w:hAnsi="Arial" w:cs="Arial"/>
                <w:sz w:val="18"/>
                <w:szCs w:val="18"/>
              </w:rPr>
            </w:pPr>
            <w:r w:rsidRPr="00537B92">
              <w:rPr>
                <w:rFonts w:ascii="Arial" w:hAnsi="Arial" w:cs="Arial"/>
                <w:sz w:val="18"/>
                <w:szCs w:val="18"/>
              </w:rPr>
              <w:t>2007</w:t>
            </w:r>
          </w:p>
          <w:p w:rsidR="00537B92" w:rsidRPr="00537B92" w:rsidRDefault="00537B92" w:rsidP="00537B92">
            <w:pPr>
              <w:rPr>
                <w:rFonts w:ascii="Arial" w:hAnsi="Arial" w:cs="Arial"/>
                <w:sz w:val="18"/>
                <w:szCs w:val="18"/>
              </w:rPr>
            </w:pPr>
            <w:r w:rsidRPr="00537B92">
              <w:rPr>
                <w:rFonts w:ascii="Arial" w:hAnsi="Arial" w:cs="Arial"/>
                <w:sz w:val="18"/>
                <w:szCs w:val="18"/>
              </w:rPr>
              <w:t>France</w:t>
            </w:r>
          </w:p>
          <w:p w:rsidR="00537B92" w:rsidRPr="00537B92" w:rsidRDefault="00537B92" w:rsidP="00537B92">
            <w:pPr>
              <w:rPr>
                <w:rFonts w:ascii="Arial" w:hAnsi="Arial" w:cs="Arial"/>
                <w:sz w:val="18"/>
                <w:szCs w:val="18"/>
              </w:rPr>
            </w:pPr>
            <w:r w:rsidRPr="00537B92">
              <w:rPr>
                <w:rFonts w:ascii="Arial" w:hAnsi="Arial" w:cs="Arial"/>
                <w:sz w:val="18"/>
                <w:szCs w:val="18"/>
              </w:rPr>
              <w:t>17938809</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NSTE ACS admitted to the department of cardiology in a single center, following successful coronary stenting.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 xml:space="preserve">mol/L) </w:t>
            </w:r>
          </w:p>
          <w:p w:rsidR="00537B92" w:rsidRPr="00537B92" w:rsidRDefault="00537B92" w:rsidP="00537B92">
            <w:pPr>
              <w:rPr>
                <w:rFonts w:ascii="Arial" w:hAnsi="Arial" w:cs="Arial"/>
                <w:sz w:val="18"/>
                <w:szCs w:val="18"/>
              </w:rPr>
            </w:pPr>
            <w:r w:rsidRPr="00537B92">
              <w:rPr>
                <w:rFonts w:ascii="Arial" w:hAnsi="Arial" w:cs="Arial"/>
                <w:sz w:val="18"/>
                <w:szCs w:val="18"/>
              </w:rPr>
              <w:t>[PAP4, Biodata Corporation, Wellcome, Paris, France]</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 Diagnostica Stago (BioCytex), Asnieres, France]; using flow cytometry [EPICS XL-MCL, Beckman Coultronics, Margency, France]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Before the PCI, at least 12 h after the loading dose of clopidogrel and aspirin; before the administration of tirofiban (if needed)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Clopidogrel (600 mg loading; 75 mg maintenance) + aspirin (250 mg loading; 75 mg maintenance); LMWH or UFH was used for anticoagulation</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VASP for determining low clopidogrel response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195 patients measured with both tests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Weighted kappa for agreement between methods = 0.32</w:t>
            </w:r>
          </w:p>
        </w:tc>
      </w:tr>
      <w:tr w:rsidR="00537B92" w:rsidRPr="00537B92" w:rsidTr="007B0DD7">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Paniccia</w:t>
            </w:r>
          </w:p>
          <w:p w:rsidR="00537B92" w:rsidRPr="00537B92" w:rsidRDefault="00537B92" w:rsidP="00537B92">
            <w:pPr>
              <w:rPr>
                <w:rFonts w:ascii="Arial" w:hAnsi="Arial" w:cs="Arial"/>
                <w:sz w:val="18"/>
                <w:szCs w:val="18"/>
              </w:rPr>
            </w:pPr>
            <w:r w:rsidRPr="00537B92">
              <w:rPr>
                <w:rFonts w:ascii="Arial" w:hAnsi="Arial" w:cs="Arial"/>
                <w:sz w:val="18"/>
                <w:szCs w:val="18"/>
              </w:rPr>
              <w:t>2007</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17723123</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adult patients admitted to the coronary care units of a single center for ACS (STE MI, NSTE MI, UA), who underwent coronary angiography and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 </w:t>
            </w:r>
            <w:r w:rsidRPr="00537B92">
              <w:rPr>
                <w:rFonts w:ascii="Arial" w:hAnsi="Arial" w:cs="Arial"/>
                <w:sz w:val="18"/>
                <w:szCs w:val="18"/>
                <w:lang w:val="el-GR"/>
              </w:rPr>
              <w:t>μ</w:t>
            </w:r>
            <w:r w:rsidRPr="00537B92">
              <w:rPr>
                <w:rFonts w:ascii="Arial" w:hAnsi="Arial" w:cs="Arial"/>
                <w:sz w:val="18"/>
                <w:szCs w:val="18"/>
              </w:rPr>
              <w:t xml:space="preserve">mol/L and 10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[APACT-4 aggregometer, LABiTec, Ahrensburg,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(collagen/ADP)</w:t>
            </w:r>
          </w:p>
          <w:p w:rsidR="00537B92" w:rsidRPr="00537B92" w:rsidRDefault="00537B92" w:rsidP="00537B92">
            <w:pPr>
              <w:rPr>
                <w:rFonts w:ascii="Arial" w:hAnsi="Arial" w:cs="Arial"/>
                <w:sz w:val="18"/>
                <w:szCs w:val="18"/>
              </w:rPr>
            </w:pPr>
            <w:r w:rsidRPr="00537B92">
              <w:rPr>
                <w:rFonts w:ascii="Arial" w:hAnsi="Arial" w:cs="Arial"/>
                <w:sz w:val="18"/>
                <w:szCs w:val="18"/>
              </w:rPr>
              <w:t>[PFA-100, Dade-Behring, Marburg,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24-48 h after PCI; assays performed within 2 h of blood sampling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Acetylsalicylic acid (500 mg loading; 100-325 mg maintenance) + clopidogrel orally (300 mg loading; 75 mg maintenance). UFH was used as the anticoagulant. Patients receiving IIb/IIIa inhibitors were excluded.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Measurements of samples from the same patient with multiple methods to assess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For analyses of agreement, 626 to 1267 samples measured with the tests of interest (specific sample sizes reported by specific comparisons)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USING CUT-OFFS DERIVED FROM STUDY DATA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(ADP 2</w:t>
            </w:r>
            <w:r w:rsidRPr="00537B92">
              <w:rPr>
                <w:rFonts w:ascii="Arial" w:hAnsi="Arial" w:cs="Arial"/>
                <w:sz w:val="18"/>
                <w:szCs w:val="18"/>
                <w:lang w:val="el-GR"/>
              </w:rPr>
              <w:t>μ</w:t>
            </w:r>
            <w:r w:rsidRPr="00537B92">
              <w:rPr>
                <w:rFonts w:ascii="Arial" w:hAnsi="Arial" w:cs="Arial"/>
                <w:sz w:val="18"/>
                <w:szCs w:val="18"/>
              </w:rPr>
              <w:t xml:space="preserve">ml/L) and PFA-100 (collagen/ADP cartridge) for residual platelet reactivity: out of 626 measurements, 22 were positive by both tests; 393 were negative by both tests; 80 were positive with LTA </w:t>
            </w:r>
            <w:r w:rsidRPr="00537B92">
              <w:rPr>
                <w:rFonts w:ascii="Arial" w:hAnsi="Arial" w:cs="Arial"/>
                <w:sz w:val="18"/>
                <w:szCs w:val="18"/>
              </w:rPr>
              <w:lastRenderedPageBreak/>
              <w:t>(ADP 2</w:t>
            </w:r>
            <w:r w:rsidRPr="00537B92">
              <w:rPr>
                <w:rFonts w:ascii="Arial" w:hAnsi="Arial" w:cs="Arial"/>
                <w:sz w:val="18"/>
                <w:szCs w:val="18"/>
                <w:lang w:val="el-GR"/>
              </w:rPr>
              <w:t>μ</w:t>
            </w:r>
            <w:r w:rsidRPr="00537B92">
              <w:rPr>
                <w:rFonts w:ascii="Arial" w:hAnsi="Arial" w:cs="Arial"/>
                <w:sz w:val="18"/>
                <w:szCs w:val="18"/>
              </w:rPr>
              <w:t>ml/L) but not PFA-100 (collagen/ADP cartridge); 131 were positive with PFA-100 (collagen/ADP cartridge) but not LTA (ADP 2</w:t>
            </w:r>
            <w:r w:rsidRPr="00537B92">
              <w:rPr>
                <w:rFonts w:ascii="Arial" w:hAnsi="Arial" w:cs="Arial"/>
                <w:sz w:val="18"/>
                <w:szCs w:val="18"/>
                <w:lang w:val="el-GR"/>
              </w:rPr>
              <w:t>μ</w:t>
            </w:r>
            <w:r w:rsidRPr="00537B92">
              <w:rPr>
                <w:rFonts w:ascii="Arial" w:hAnsi="Arial" w:cs="Arial"/>
                <w:sz w:val="18"/>
                <w:szCs w:val="18"/>
              </w:rPr>
              <w:t xml:space="preserve">ml/L). </w:t>
            </w:r>
            <w:r w:rsidRPr="00537B92">
              <w:rPr>
                <w:rFonts w:ascii="Arial" w:hAnsi="Arial" w:cs="Arial"/>
                <w:b/>
                <w:i/>
                <w:sz w:val="18"/>
                <w:szCs w:val="18"/>
              </w:rPr>
              <w:t>NOTE:</w:t>
            </w:r>
            <w:r w:rsidRPr="00537B92">
              <w:rPr>
                <w:rFonts w:ascii="Arial" w:hAnsi="Arial" w:cs="Arial"/>
                <w:sz w:val="18"/>
                <w:szCs w:val="18"/>
              </w:rPr>
              <w:t xml:space="preserve"> discrepant numbers are reported in the text of the paper for the same comparison: out of 626 measurements, 41 were positive by both tests; 335 were negative by both tests; 138 were positive with LTA (ADP 2</w:t>
            </w:r>
            <w:r w:rsidRPr="00537B92">
              <w:rPr>
                <w:rFonts w:ascii="Arial" w:hAnsi="Arial" w:cs="Arial"/>
                <w:sz w:val="18"/>
                <w:szCs w:val="18"/>
                <w:lang w:val="el-GR"/>
              </w:rPr>
              <w:t>μ</w:t>
            </w:r>
            <w:r w:rsidRPr="00537B92">
              <w:rPr>
                <w:rFonts w:ascii="Arial" w:hAnsi="Arial" w:cs="Arial"/>
                <w:sz w:val="18"/>
                <w:szCs w:val="18"/>
              </w:rPr>
              <w:t>ml/L) but not PFA-100 (collagen/ADP cartridge); 112 were positive with PFA-100 (collagen/ADP cartridge) but not LTA (ADP 2</w:t>
            </w:r>
            <w:r w:rsidRPr="00537B92">
              <w:rPr>
                <w:rFonts w:ascii="Arial" w:hAnsi="Arial" w:cs="Arial"/>
                <w:sz w:val="18"/>
                <w:szCs w:val="18"/>
                <w:lang w:val="el-GR"/>
              </w:rPr>
              <w:t>μ</w:t>
            </w:r>
            <w:r w:rsidRPr="00537B92">
              <w:rPr>
                <w:rFonts w:ascii="Arial" w:hAnsi="Arial" w:cs="Arial"/>
                <w:sz w:val="18"/>
                <w:szCs w:val="18"/>
              </w:rPr>
              <w:t>ml/L). Agreement between LTA (ADP 2</w:t>
            </w:r>
            <w:r w:rsidRPr="00537B92">
              <w:rPr>
                <w:rFonts w:ascii="Arial" w:hAnsi="Arial" w:cs="Arial"/>
                <w:sz w:val="18"/>
                <w:szCs w:val="18"/>
                <w:lang w:val="el-GR"/>
              </w:rPr>
              <w:t>μ</w:t>
            </w:r>
            <w:r w:rsidRPr="00537B92">
              <w:rPr>
                <w:rFonts w:ascii="Arial" w:hAnsi="Arial" w:cs="Arial"/>
                <w:sz w:val="18"/>
                <w:szCs w:val="18"/>
              </w:rPr>
              <w:t>mol/L) with PFA-100 (collagen/ADP cartridge) for residual platelet reactivity: kappa = -0.02; P = 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Agreement between LTA (ADP 10</w:t>
            </w:r>
            <w:r w:rsidRPr="00537B92">
              <w:rPr>
                <w:rFonts w:ascii="Arial" w:hAnsi="Arial" w:cs="Arial"/>
                <w:sz w:val="18"/>
                <w:szCs w:val="18"/>
                <w:lang w:val="el-GR"/>
              </w:rPr>
              <w:t>μ</w:t>
            </w:r>
            <w:r w:rsidRPr="00537B92">
              <w:rPr>
                <w:rFonts w:ascii="Arial" w:hAnsi="Arial" w:cs="Arial"/>
                <w:sz w:val="18"/>
                <w:szCs w:val="18"/>
              </w:rPr>
              <w:t>ml/L) and PFA-100 (collagen/ADP cartridge) for residual platelet reactivity: out of 626 measurements, 35 were positive by both tests; 345 were negative by both tests; 128 were positive with LTA (ADP 10</w:t>
            </w:r>
            <w:r w:rsidRPr="00537B92">
              <w:rPr>
                <w:rFonts w:ascii="Arial" w:hAnsi="Arial" w:cs="Arial"/>
                <w:sz w:val="18"/>
                <w:szCs w:val="18"/>
                <w:lang w:val="el-GR"/>
              </w:rPr>
              <w:t>μ</w:t>
            </w:r>
            <w:r w:rsidRPr="00537B92">
              <w:rPr>
                <w:rFonts w:ascii="Arial" w:hAnsi="Arial" w:cs="Arial"/>
                <w:sz w:val="18"/>
                <w:szCs w:val="18"/>
              </w:rPr>
              <w:t>ml/L) but not PFA-100 (collagen/ADP cartridge); 118 were positive with PFA-100 (collagen/ADP cartridge) but not LTA (ADP 10</w:t>
            </w:r>
            <w:r w:rsidRPr="00537B92">
              <w:rPr>
                <w:rFonts w:ascii="Arial" w:hAnsi="Arial" w:cs="Arial"/>
                <w:sz w:val="18"/>
                <w:szCs w:val="18"/>
                <w:lang w:val="el-GR"/>
              </w:rPr>
              <w:t>μ</w:t>
            </w:r>
            <w:r w:rsidRPr="00537B92">
              <w:rPr>
                <w:rFonts w:ascii="Arial" w:hAnsi="Arial" w:cs="Arial"/>
                <w:sz w:val="18"/>
                <w:szCs w:val="18"/>
              </w:rPr>
              <w:t>ml/L). Agreement between LTA (ADP 10</w:t>
            </w:r>
            <w:r w:rsidRPr="00537B92">
              <w:rPr>
                <w:rFonts w:ascii="Arial" w:hAnsi="Arial" w:cs="Arial"/>
                <w:sz w:val="18"/>
                <w:szCs w:val="18"/>
                <w:lang w:val="el-GR"/>
              </w:rPr>
              <w:t>μ</w:t>
            </w:r>
            <w:r w:rsidRPr="00537B92">
              <w:rPr>
                <w:rFonts w:ascii="Arial" w:hAnsi="Arial" w:cs="Arial"/>
                <w:sz w:val="18"/>
                <w:szCs w:val="18"/>
              </w:rPr>
              <w:t>mol/L) with PFA-100 (collagen/ADP cartridge) for residual platelet reactivity: kappa = -0.04; P = 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(ADP 2</w:t>
            </w:r>
            <w:r w:rsidRPr="00537B92">
              <w:rPr>
                <w:rFonts w:ascii="Arial" w:hAnsi="Arial" w:cs="Arial"/>
                <w:sz w:val="18"/>
                <w:szCs w:val="18"/>
                <w:lang w:val="el-GR"/>
              </w:rPr>
              <w:t>μ</w:t>
            </w:r>
            <w:r w:rsidRPr="00537B92">
              <w:rPr>
                <w:rFonts w:ascii="Arial" w:hAnsi="Arial" w:cs="Arial"/>
                <w:sz w:val="18"/>
                <w:szCs w:val="18"/>
              </w:rPr>
              <w:t xml:space="preserve">ml/L) and VerifyNow (P2Y12 assay) for residual platelet reactivity: out of 1267 </w:t>
            </w:r>
            <w:r w:rsidRPr="00537B92">
              <w:rPr>
                <w:rFonts w:ascii="Arial" w:hAnsi="Arial" w:cs="Arial"/>
                <w:sz w:val="18"/>
                <w:szCs w:val="18"/>
              </w:rPr>
              <w:lastRenderedPageBreak/>
              <w:t>measurements, 159 were positive by both tests; 795 were negative by both tests; 159 were positive with LTA (ADP 2</w:t>
            </w:r>
            <w:r w:rsidRPr="00537B92">
              <w:rPr>
                <w:rFonts w:ascii="Arial" w:hAnsi="Arial" w:cs="Arial"/>
                <w:sz w:val="18"/>
                <w:szCs w:val="18"/>
                <w:lang w:val="el-GR"/>
              </w:rPr>
              <w:t>μ</w:t>
            </w:r>
            <w:r w:rsidRPr="00537B92">
              <w:rPr>
                <w:rFonts w:ascii="Arial" w:hAnsi="Arial" w:cs="Arial"/>
                <w:sz w:val="18"/>
                <w:szCs w:val="18"/>
              </w:rPr>
              <w:t>ml/L) but not VerifyNow (P2Y12 assay); 154 were positive with VerifyNow (P2Y12 assay) but not LTA (ADP 2</w:t>
            </w:r>
            <w:r w:rsidRPr="00537B92">
              <w:rPr>
                <w:rFonts w:ascii="Arial" w:hAnsi="Arial" w:cs="Arial"/>
                <w:sz w:val="18"/>
                <w:szCs w:val="18"/>
                <w:lang w:val="el-GR"/>
              </w:rPr>
              <w:t>μ</w:t>
            </w:r>
            <w:r w:rsidRPr="00537B92">
              <w:rPr>
                <w:rFonts w:ascii="Arial" w:hAnsi="Arial" w:cs="Arial"/>
                <w:sz w:val="18"/>
                <w:szCs w:val="18"/>
              </w:rPr>
              <w:t>ml/L). Agreement between LTA (ADP 2</w:t>
            </w:r>
            <w:r w:rsidRPr="00537B92">
              <w:rPr>
                <w:rFonts w:ascii="Arial" w:hAnsi="Arial" w:cs="Arial"/>
                <w:sz w:val="18"/>
                <w:szCs w:val="18"/>
                <w:lang w:val="el-GR"/>
              </w:rPr>
              <w:t>μ</w:t>
            </w:r>
            <w:r w:rsidRPr="00537B92">
              <w:rPr>
                <w:rFonts w:ascii="Arial" w:hAnsi="Arial" w:cs="Arial"/>
                <w:sz w:val="18"/>
                <w:szCs w:val="18"/>
              </w:rPr>
              <w:t>mol/L) with VerifyNow (ADP assay) for residual platelet reactivity: kappa = 0.34; 95% CI 0.29, 0.35; P&lt;0.001.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(ADP 10</w:t>
            </w:r>
            <w:r w:rsidRPr="00537B92">
              <w:rPr>
                <w:rFonts w:ascii="Arial" w:hAnsi="Arial" w:cs="Arial"/>
                <w:sz w:val="18"/>
                <w:szCs w:val="18"/>
                <w:lang w:val="el-GR"/>
              </w:rPr>
              <w:t>μ</w:t>
            </w:r>
            <w:r w:rsidRPr="00537B92">
              <w:rPr>
                <w:rFonts w:ascii="Arial" w:hAnsi="Arial" w:cs="Arial"/>
                <w:sz w:val="18"/>
                <w:szCs w:val="18"/>
              </w:rPr>
              <w:t>ml/L) and VerifyNow (P2Y12 assay) for residual platelet reactivity: out of 1267 measurements, 171 were positive by both tests; 831 were negative by both tests; 123 were positive with LTA (ADP 10</w:t>
            </w:r>
            <w:r w:rsidRPr="00537B92">
              <w:rPr>
                <w:rFonts w:ascii="Arial" w:hAnsi="Arial" w:cs="Arial"/>
                <w:sz w:val="18"/>
                <w:szCs w:val="18"/>
                <w:lang w:val="el-GR"/>
              </w:rPr>
              <w:t>μ</w:t>
            </w:r>
            <w:r w:rsidRPr="00537B92">
              <w:rPr>
                <w:rFonts w:ascii="Arial" w:hAnsi="Arial" w:cs="Arial"/>
                <w:sz w:val="18"/>
                <w:szCs w:val="18"/>
              </w:rPr>
              <w:t xml:space="preserve">ml/L) but not VerifyNow (P2Y12 assay); 142 were </w:t>
            </w:r>
            <w:r w:rsidRPr="00537B92">
              <w:rPr>
                <w:rFonts w:ascii="Arial" w:hAnsi="Arial" w:cs="Arial"/>
                <w:sz w:val="18"/>
                <w:szCs w:val="18"/>
              </w:rPr>
              <w:lastRenderedPageBreak/>
              <w:t>positive with VerifyNow (P2Y12 assay) but not LTA (ADP 10</w:t>
            </w:r>
            <w:r w:rsidRPr="00537B92">
              <w:rPr>
                <w:rFonts w:ascii="Arial" w:hAnsi="Arial" w:cs="Arial"/>
                <w:sz w:val="18"/>
                <w:szCs w:val="18"/>
                <w:lang w:val="el-GR"/>
              </w:rPr>
              <w:t>μ</w:t>
            </w:r>
            <w:r w:rsidRPr="00537B92">
              <w:rPr>
                <w:rFonts w:ascii="Arial" w:hAnsi="Arial" w:cs="Arial"/>
                <w:sz w:val="18"/>
                <w:szCs w:val="18"/>
              </w:rPr>
              <w:t>ml/L). Agreement between LTA (ADP 10</w:t>
            </w:r>
            <w:r w:rsidRPr="00537B92">
              <w:rPr>
                <w:rFonts w:ascii="Arial" w:hAnsi="Arial" w:cs="Arial"/>
                <w:sz w:val="18"/>
                <w:szCs w:val="18"/>
                <w:lang w:val="el-GR"/>
              </w:rPr>
              <w:t>μ</w:t>
            </w:r>
            <w:r w:rsidRPr="00537B92">
              <w:rPr>
                <w:rFonts w:ascii="Arial" w:hAnsi="Arial" w:cs="Arial"/>
                <w:sz w:val="18"/>
                <w:szCs w:val="18"/>
              </w:rPr>
              <w:t>mol/L) with VerifyNow (ADP assay) for residual platelet reactivity: kappa = 0.43; 95% CI 0.36, 0.42; P&lt;0.001.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(P2Y12 assay) and PFA-100 (collagen/ADP cartridge) for residual platelet reactivity: out of 626 measurements, 53 were positive by both tests; 315 were negative by both tests; 158 were positive with VerifyNow (P2Y12 assay) but not PFA-100 (collagen/ADP cartridge); 100 were positive with PFA-100 (collagen/ADP cartridge) but not VerifyNow (P2Y12 assay). Agreement between PFA-100 (collagen/ADP </w:t>
            </w:r>
            <w:r w:rsidRPr="00537B92">
              <w:rPr>
                <w:rFonts w:ascii="Arial" w:hAnsi="Arial" w:cs="Arial"/>
                <w:sz w:val="18"/>
                <w:szCs w:val="18"/>
              </w:rPr>
              <w:lastRenderedPageBreak/>
              <w:t>cartridge) with VerifyNow (ADP assay) for residual platelet reactivity: kappa = -0.01;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using LTA (ADP 2 </w:t>
            </w:r>
            <w:r w:rsidRPr="00537B92">
              <w:rPr>
                <w:rFonts w:ascii="Arial" w:hAnsi="Arial" w:cs="Arial"/>
                <w:sz w:val="18"/>
                <w:szCs w:val="18"/>
                <w:lang w:val="el-GR"/>
              </w:rPr>
              <w:t>μ</w:t>
            </w:r>
            <w:r w:rsidRPr="00537B92">
              <w:rPr>
                <w:rFonts w:ascii="Arial" w:hAnsi="Arial" w:cs="Arial"/>
                <w:sz w:val="18"/>
                <w:szCs w:val="18"/>
              </w:rPr>
              <w:t>ml/L) as the reference standard (cut-off based on study data): sensitivity = 50.0%; specificity = 83.8%; PPV = 50.8%; NPV = 83.3%.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using LTA (ADP 10 </w:t>
            </w:r>
            <w:r w:rsidRPr="00537B92">
              <w:rPr>
                <w:rFonts w:ascii="Arial" w:hAnsi="Arial" w:cs="Arial"/>
                <w:sz w:val="18"/>
                <w:szCs w:val="18"/>
                <w:lang w:val="el-GR"/>
              </w:rPr>
              <w:t>μ</w:t>
            </w:r>
            <w:r w:rsidRPr="00537B92">
              <w:rPr>
                <w:rFonts w:ascii="Arial" w:hAnsi="Arial" w:cs="Arial"/>
                <w:sz w:val="18"/>
                <w:szCs w:val="18"/>
              </w:rPr>
              <w:t>ml/L) as the reference standard (cut-off based on study data): sensitivity = 58.2%; specificity = 85.4%; PPV = 54.6%; NPV = 87.1%.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USING CUT-OFFS DERIVED FROM PRIOR LITERATURE</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10 </w:t>
            </w:r>
            <w:r w:rsidRPr="00537B92">
              <w:rPr>
                <w:rFonts w:ascii="Arial" w:hAnsi="Arial" w:cs="Arial"/>
                <w:sz w:val="18"/>
                <w:szCs w:val="18"/>
                <w:lang w:val="el-GR"/>
              </w:rPr>
              <w:t>μ</w:t>
            </w:r>
            <w:r w:rsidRPr="00537B92">
              <w:rPr>
                <w:rFonts w:ascii="Arial" w:hAnsi="Arial" w:cs="Arial"/>
                <w:sz w:val="18"/>
                <w:szCs w:val="18"/>
              </w:rPr>
              <w:t xml:space="preserve">ml/L) and VerifyNow (P2Y12 assay) for </w:t>
            </w:r>
            <w:r w:rsidRPr="00537B92">
              <w:rPr>
                <w:rFonts w:ascii="Arial" w:hAnsi="Arial" w:cs="Arial"/>
                <w:sz w:val="18"/>
                <w:szCs w:val="18"/>
              </w:rPr>
              <w:lastRenderedPageBreak/>
              <w:t>residual platelet reactivity: out of 1267 measurements, 142 were positive by both tests; 858 were negative by both tests; 96 were positive with LTA (ADP 10</w:t>
            </w:r>
            <w:r w:rsidRPr="00537B92">
              <w:rPr>
                <w:rFonts w:ascii="Arial" w:hAnsi="Arial" w:cs="Arial"/>
                <w:sz w:val="18"/>
                <w:szCs w:val="18"/>
                <w:lang w:val="el-GR"/>
              </w:rPr>
              <w:t>μ</w:t>
            </w:r>
            <w:r w:rsidRPr="00537B92">
              <w:rPr>
                <w:rFonts w:ascii="Arial" w:hAnsi="Arial" w:cs="Arial"/>
                <w:sz w:val="18"/>
                <w:szCs w:val="18"/>
              </w:rPr>
              <w:t>ml/L) but not VerifyNow (P2Y12 assay); 171 were positive with VerifyNow (P2Y12 assay) but not LTA (ADP 10</w:t>
            </w:r>
            <w:r w:rsidRPr="00537B92">
              <w:rPr>
                <w:rFonts w:ascii="Arial" w:hAnsi="Arial" w:cs="Arial"/>
                <w:sz w:val="18"/>
                <w:szCs w:val="18"/>
                <w:lang w:val="el-GR"/>
              </w:rPr>
              <w:t>μ</w:t>
            </w:r>
            <w:r w:rsidRPr="00537B92">
              <w:rPr>
                <w:rFonts w:ascii="Arial" w:hAnsi="Arial" w:cs="Arial"/>
                <w:sz w:val="18"/>
                <w:szCs w:val="18"/>
              </w:rPr>
              <w:t>ml/L). Agreement between LTA (ADP 10</w:t>
            </w:r>
            <w:r w:rsidRPr="00537B92">
              <w:rPr>
                <w:rFonts w:ascii="Arial" w:hAnsi="Arial" w:cs="Arial"/>
                <w:sz w:val="18"/>
                <w:szCs w:val="18"/>
                <w:lang w:val="el-GR"/>
              </w:rPr>
              <w:t>μ</w:t>
            </w:r>
            <w:r w:rsidRPr="00537B92">
              <w:rPr>
                <w:rFonts w:ascii="Arial" w:hAnsi="Arial" w:cs="Arial"/>
                <w:sz w:val="18"/>
                <w:szCs w:val="18"/>
              </w:rPr>
              <w:t>mol/L) with VerifyNow (ADP assay) for residual platelet reactivity: kappa = 0.38; 95% CI 0.33, 0.39; P&lt;0.001.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using LTA (ADP 10 </w:t>
            </w:r>
            <w:r w:rsidRPr="00537B92">
              <w:rPr>
                <w:rFonts w:ascii="Arial" w:hAnsi="Arial" w:cs="Arial"/>
                <w:sz w:val="18"/>
                <w:szCs w:val="18"/>
                <w:lang w:val="el-GR"/>
              </w:rPr>
              <w:t>μ</w:t>
            </w:r>
            <w:r w:rsidRPr="00537B92">
              <w:rPr>
                <w:rFonts w:ascii="Arial" w:hAnsi="Arial" w:cs="Arial"/>
                <w:sz w:val="18"/>
                <w:szCs w:val="18"/>
              </w:rPr>
              <w:t>ml/L) as the reference standard (70% cut-off, based on prior literature): sensitivity = 59.7%; specificity = 83.4%; PPV = 45.5%; NPV = 89.9%.</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Van Werkum</w:t>
            </w:r>
          </w:p>
          <w:p w:rsidR="00537B92" w:rsidRPr="00537B92" w:rsidRDefault="00537B92" w:rsidP="00537B92">
            <w:pPr>
              <w:rPr>
                <w:rFonts w:ascii="Arial" w:hAnsi="Arial" w:cs="Arial"/>
                <w:sz w:val="18"/>
                <w:szCs w:val="18"/>
              </w:rPr>
            </w:pPr>
            <w:r w:rsidRPr="00537B92">
              <w:rPr>
                <w:rFonts w:ascii="Arial" w:hAnsi="Arial" w:cs="Arial"/>
                <w:sz w:val="18"/>
                <w:szCs w:val="18"/>
              </w:rPr>
              <w:t>2006</w:t>
            </w:r>
          </w:p>
          <w:p w:rsidR="00537B92" w:rsidRPr="00537B92" w:rsidRDefault="00537B92" w:rsidP="00537B92">
            <w:pPr>
              <w:rPr>
                <w:rFonts w:ascii="Arial" w:hAnsi="Arial" w:cs="Arial"/>
                <w:sz w:val="18"/>
                <w:szCs w:val="18"/>
              </w:rPr>
            </w:pPr>
            <w:r w:rsidRPr="00537B92">
              <w:rPr>
                <w:rFonts w:ascii="Arial" w:hAnsi="Arial" w:cs="Arial"/>
                <w:sz w:val="18"/>
                <w:szCs w:val="18"/>
              </w:rPr>
              <w:t>Netherlands</w:t>
            </w:r>
          </w:p>
          <w:p w:rsidR="00537B92" w:rsidRPr="00537B92" w:rsidRDefault="00537B92" w:rsidP="00537B92">
            <w:pPr>
              <w:rPr>
                <w:rFonts w:ascii="Arial" w:hAnsi="Arial" w:cs="Arial"/>
                <w:sz w:val="18"/>
                <w:szCs w:val="18"/>
              </w:rPr>
            </w:pPr>
            <w:r w:rsidRPr="00537B92">
              <w:rPr>
                <w:rFonts w:ascii="Arial" w:hAnsi="Arial" w:cs="Arial"/>
                <w:sz w:val="18"/>
                <w:szCs w:val="18"/>
              </w:rPr>
              <w:t>16938130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undergoing elective PCI with stenting referred to a single center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20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[NR]</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Variable (based on patient referral patterns)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Clopidogrel pre-treatment varied by center (maintenance therapy of 75mg for &gt;5 d, n = 116; loading dose 300mg at least 24 h before PCI, n = 75; loading dose 600 mg at least 4 h before PCI, n = 20). All patients were on aspirin ≥80mg of aspirin for at least 7 days.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Assessment of agreement between measurements using both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211 patients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analysis “did not show proportional or systematic bias, with minimal clustering of values” for the following pairs of measurements: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“Peak aggregation” with LTA versus VerifyNow PRU units, and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“Late aggregation” with LTA versus VerifyNow PRU units</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Mobley</w:t>
            </w:r>
          </w:p>
          <w:p w:rsidR="00537B92" w:rsidRPr="00537B92" w:rsidRDefault="00537B92" w:rsidP="00537B92">
            <w:pPr>
              <w:rPr>
                <w:rFonts w:ascii="Arial" w:hAnsi="Arial" w:cs="Arial"/>
                <w:sz w:val="18"/>
                <w:szCs w:val="18"/>
              </w:rPr>
            </w:pPr>
            <w:r w:rsidRPr="00537B92">
              <w:rPr>
                <w:rFonts w:ascii="Arial" w:hAnsi="Arial" w:cs="Arial"/>
                <w:sz w:val="18"/>
                <w:szCs w:val="18"/>
              </w:rPr>
              <w:t>2004</w:t>
            </w:r>
          </w:p>
          <w:p w:rsidR="00537B92" w:rsidRPr="00537B92" w:rsidRDefault="00537B92" w:rsidP="00537B92">
            <w:pPr>
              <w:rPr>
                <w:rFonts w:ascii="Arial" w:hAnsi="Arial" w:cs="Arial"/>
                <w:sz w:val="18"/>
                <w:szCs w:val="18"/>
              </w:rPr>
            </w:pPr>
            <w:r w:rsidRPr="00537B92">
              <w:rPr>
                <w:rFonts w:ascii="Arial" w:hAnsi="Arial" w:cs="Arial"/>
                <w:sz w:val="18"/>
                <w:szCs w:val="18"/>
              </w:rPr>
              <w:t>USA</w:t>
            </w:r>
          </w:p>
          <w:p w:rsidR="00537B92" w:rsidRPr="00537B92" w:rsidRDefault="00537B92" w:rsidP="00537B92">
            <w:pPr>
              <w:rPr>
                <w:rFonts w:ascii="Arial" w:hAnsi="Arial" w:cs="Arial"/>
                <w:sz w:val="18"/>
                <w:szCs w:val="18"/>
              </w:rPr>
            </w:pPr>
            <w:r w:rsidRPr="00537B92">
              <w:rPr>
                <w:rFonts w:ascii="Arial" w:hAnsi="Arial" w:cs="Arial"/>
                <w:sz w:val="18"/>
                <w:szCs w:val="18"/>
              </w:rPr>
              <w:t>14969622</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scheduled for cardiac catheterization at a single center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Optical platelet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[Dual Channel Aggregometer; Chrono-Log Corp.,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TEG</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[Thromboelastograph assay, Hemoscope, additional details NR]</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PlateletWorks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[PlateletWorks assay, Ichor, additional detaisl NR]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“After a variable number of days on therapy”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300 mg loading doses administered at the clinicians discretion; orally 75 mg maintenance; samples drawn to monitor platelet inhibition were obtained before treatment with additional anticoagulants or antiplatelet agents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Assessment of agreement between measurements with different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50 patients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was 89% for optical platelet aggregation; 91% for TEG; 76% for PlateletWorks; agreement was judged against an average of % change from baseline across all analyzers.</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Ren</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China</w:t>
            </w:r>
          </w:p>
          <w:p w:rsidR="00537B92" w:rsidRPr="00537B92" w:rsidRDefault="00537B92" w:rsidP="00537B92">
            <w:pPr>
              <w:rPr>
                <w:rFonts w:ascii="Arial" w:hAnsi="Arial" w:cs="Arial"/>
                <w:sz w:val="18"/>
                <w:szCs w:val="18"/>
              </w:rPr>
            </w:pPr>
            <w:r w:rsidRPr="00537B92">
              <w:rPr>
                <w:rFonts w:ascii="Arial" w:hAnsi="Arial" w:cs="Arial"/>
                <w:sz w:val="18"/>
                <w:szCs w:val="18"/>
              </w:rPr>
              <w:t>21518592</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with high-risk ACS undergoing elective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TEG</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[Thromboelastograph mapping assay in TEG5000, Hemoscope Corp., USA]</w:t>
            </w:r>
          </w:p>
          <w:p w:rsidR="00537B92" w:rsidRPr="00537B92" w:rsidRDefault="00537B92" w:rsidP="00537B92">
            <w:pPr>
              <w:rPr>
                <w:rFonts w:ascii="Arial" w:hAnsi="Arial" w:cs="Arial"/>
                <w:sz w:val="18"/>
                <w:szCs w:val="18"/>
              </w:rPr>
            </w:pP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Blood samples were obtained after 5 days of using omeprazole.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Clopidogrel (600 mg loading dose; 75 mg daily maintenance) + aspirin (300 mg loading dose; 100 mg daily maintenance); no patients received IIb/IIIA inhibitors. At the beginning of elective PCI patients were randomized to omeprazole (20 mg) or placebo for 30 days.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Not reported (for analytic validity assessment)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Not reported (for analytic validity assessment)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Analytic sensitivity for the ADP pathway = 80%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for the ADP pathway = 86%</w:t>
            </w:r>
          </w:p>
        </w:tc>
      </w:tr>
      <w:tr w:rsidR="00537B92" w:rsidRPr="00537B92" w:rsidTr="007B0DD7">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Godino</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19419580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evidence of stable coronary artery disease undergoing elective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ADP-stimulated IIb/IIIa receptor AND P-selectin expression (considered jointly as the reference standard)</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20 </w:t>
            </w:r>
            <w:r w:rsidRPr="00537B92">
              <w:rPr>
                <w:rFonts w:ascii="Arial" w:hAnsi="Arial" w:cs="Arial"/>
                <w:sz w:val="18"/>
                <w:szCs w:val="18"/>
                <w:lang w:val="el-GR"/>
              </w:rPr>
              <w:t>μ</w:t>
            </w:r>
            <w:r w:rsidRPr="00537B92">
              <w:rPr>
                <w:rFonts w:ascii="Arial" w:hAnsi="Arial" w:cs="Arial"/>
                <w:sz w:val="18"/>
                <w:szCs w:val="18"/>
              </w:rPr>
              <w:t xml:space="preserve">M and collagen, 5 </w:t>
            </w:r>
            <w:r w:rsidRPr="00537B92">
              <w:rPr>
                <w:rFonts w:ascii="Arial" w:hAnsi="Arial" w:cs="Arial"/>
                <w:sz w:val="18"/>
                <w:szCs w:val="18"/>
                <w:lang w:val="el-GR"/>
              </w:rPr>
              <w:t>μ</w:t>
            </w:r>
            <w:r w:rsidRPr="00537B92">
              <w:rPr>
                <w:rFonts w:ascii="Arial" w:hAnsi="Arial" w:cs="Arial"/>
                <w:sz w:val="18"/>
                <w:szCs w:val="18"/>
              </w:rPr>
              <w:t>g/mL)</w:t>
            </w:r>
          </w:p>
          <w:p w:rsidR="00537B92" w:rsidRPr="00537B92" w:rsidRDefault="00537B92" w:rsidP="00537B92">
            <w:pPr>
              <w:rPr>
                <w:rFonts w:ascii="Arial" w:hAnsi="Arial" w:cs="Arial"/>
                <w:sz w:val="18"/>
                <w:szCs w:val="18"/>
              </w:rPr>
            </w:pPr>
            <w:r w:rsidRPr="00537B92">
              <w:rPr>
                <w:rFonts w:ascii="Arial" w:hAnsi="Arial" w:cs="Arial"/>
                <w:sz w:val="18"/>
                <w:szCs w:val="18"/>
              </w:rPr>
              <w:t>Using flow cytometry</w:t>
            </w:r>
          </w:p>
          <w:p w:rsidR="00537B92" w:rsidRPr="00537B92" w:rsidRDefault="00537B92" w:rsidP="00537B92">
            <w:pPr>
              <w:rPr>
                <w:rFonts w:ascii="Arial" w:hAnsi="Arial" w:cs="Arial"/>
                <w:sz w:val="18"/>
                <w:szCs w:val="18"/>
              </w:rPr>
            </w:pPr>
            <w:r w:rsidRPr="00537B92">
              <w:rPr>
                <w:rFonts w:ascii="Arial" w:hAnsi="Arial" w:cs="Arial"/>
                <w:sz w:val="18"/>
                <w:szCs w:val="18"/>
              </w:rPr>
              <w:t>[FC500; Beckman Coulter, S.p.A., Cassina De’ Pecchi, Milan, Italy]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had to have been under treatment for 7 or d prior to testing; 2 samples were obtained within 1 hour; analyzed at least 10 min and within 2 h of sampling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Clopidogrel (75 mg) and aspirin (100 mg), daily, foe at least 7 days prior to testing. Patients who had received heparin, abciximab, tirofiban, or eptifibatide in the previous week were excluded from the study.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from patients measured with 2 assays; flow cytometry used as the reference standard to determine analytic sensitivity and specificity for identifying non-responders using cut-offs determined by measurements in control individuals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52 patients measured with both tests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Using % inhibition and a cut-off of ≤15% inhibition, derived from ROC analysis (AUC = 0.94; 95% CI 0.84, 0.98; P&lt;0.0001):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of VerifyNow, using ADP-stimulated IIb/IIIa receptor and P-selectin expression as the reference standard = 100%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specificity, using ADP-stimulated IIb/IIIa receptor and </w:t>
            </w:r>
            <w:r w:rsidRPr="00537B92">
              <w:rPr>
                <w:rFonts w:ascii="Arial" w:hAnsi="Arial" w:cs="Arial"/>
                <w:sz w:val="18"/>
                <w:szCs w:val="18"/>
              </w:rPr>
              <w:lastRenderedPageBreak/>
              <w:t>P-selectin expression as the reference standard = 89.1%</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Using absolute PRU values and a cut-off of &gt;213 units of inhibition, derived from ROC analysis (AUC = 0.85; 95% CI 0.72, 0.93; P&lt;0.005):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of VerifyNow, using ADP-stimulated IIb/IIIa receptor and P-selectin expression as the reference standard = 83.3%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using ADP-stimulated IIb/IIIa receptor and P-selectin expression as the reference standard = 84.4%</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ADP-stimulated IIb/IIIa receptor and P-selectin expression: out of 52 measurements, 6 were positive by both tests; 23 were negative by both </w:t>
            </w:r>
            <w:r w:rsidRPr="00537B92">
              <w:rPr>
                <w:rFonts w:ascii="Arial" w:hAnsi="Arial" w:cs="Arial"/>
                <w:sz w:val="18"/>
                <w:szCs w:val="18"/>
              </w:rPr>
              <w:lastRenderedPageBreak/>
              <w:t>tests; 2 were positive based on P-selectin expression but not IIb/IIIa receptor expression; 21 were positive based on IIb/IIIa receptor expression but not P-selectin expression.</w:t>
            </w:r>
          </w:p>
        </w:tc>
      </w:tr>
      <w:tr w:rsidR="00537B92" w:rsidRPr="00537B92" w:rsidTr="007B0DD7">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Paniccia</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21192314</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with CAD admitted to a single center’s coronary care unit for ACS. All patients underwent coronary angiography and PCI.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 </w:t>
            </w:r>
            <w:r w:rsidRPr="00537B92">
              <w:rPr>
                <w:rFonts w:ascii="Arial" w:hAnsi="Arial" w:cs="Arial"/>
                <w:sz w:val="18"/>
                <w:szCs w:val="18"/>
                <w:lang w:val="el-GR"/>
              </w:rPr>
              <w:t>μ</w:t>
            </w:r>
            <w:r w:rsidRPr="00537B92">
              <w:rPr>
                <w:rFonts w:ascii="Arial" w:hAnsi="Arial" w:cs="Arial"/>
                <w:sz w:val="18"/>
                <w:szCs w:val="18"/>
              </w:rPr>
              <w:t xml:space="preserve">mol/L, 5 </w:t>
            </w:r>
            <w:r w:rsidRPr="00537B92">
              <w:rPr>
                <w:rFonts w:ascii="Arial" w:hAnsi="Arial" w:cs="Arial"/>
                <w:sz w:val="18"/>
                <w:szCs w:val="18"/>
                <w:lang w:val="el-GR"/>
              </w:rPr>
              <w:t>μ</w:t>
            </w:r>
            <w:r w:rsidRPr="00537B92">
              <w:rPr>
                <w:rFonts w:ascii="Arial" w:hAnsi="Arial" w:cs="Arial"/>
                <w:sz w:val="18"/>
                <w:szCs w:val="18"/>
              </w:rPr>
              <w:t xml:space="preserve">mol/L, 10 </w:t>
            </w:r>
            <w:r w:rsidRPr="00537B92">
              <w:rPr>
                <w:rFonts w:ascii="Arial" w:hAnsi="Arial" w:cs="Arial"/>
                <w:sz w:val="18"/>
                <w:szCs w:val="18"/>
                <w:lang w:val="el-GR"/>
              </w:rPr>
              <w:t>μ</w:t>
            </w:r>
            <w:r w:rsidRPr="00537B92">
              <w:rPr>
                <w:rFonts w:ascii="Arial" w:hAnsi="Arial" w:cs="Arial"/>
                <w:sz w:val="18"/>
                <w:szCs w:val="18"/>
              </w:rPr>
              <w:t xml:space="preserve">mol/L, and 20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[APACT-4004 aggregometer, LABiTec, Ahrensburg,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collected 24 or 48 h after the end of PCI; all assays were performed within 2 h of blood sampling.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Acetylsalicylic acid (500 mg IV) followed by aspirin (maintenance dose 100-325 mg) + clopidogrel (300 mg loading dose; followed by maintenance dosing at 75 mg daily). Patients receiving IIb/IIIa receptor inhibitors were excluded.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Measurements of samples with 2 assays (and different agonist concentrations for LTA) for the assessment of agreement and the derivation of limits of agreement; for the assessment of reliability, repeat measurements on samples from smaller groups of patients were performed (only for LTA)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from 466 patients for assessment of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 </w:t>
            </w:r>
            <w:r w:rsidRPr="00537B92">
              <w:rPr>
                <w:rFonts w:ascii="Arial" w:hAnsi="Arial" w:cs="Arial"/>
                <w:sz w:val="18"/>
                <w:szCs w:val="18"/>
                <w:lang w:val="el-GR"/>
              </w:rPr>
              <w:t>μ</w:t>
            </w:r>
            <w:r w:rsidRPr="00537B92">
              <w:rPr>
                <w:rFonts w:ascii="Arial" w:hAnsi="Arial" w:cs="Arial"/>
                <w:sz w:val="18"/>
                <w:szCs w:val="18"/>
              </w:rPr>
              <w:t xml:space="preserve">mol/L) and LTA (ADP 5 </w:t>
            </w:r>
            <w:r w:rsidRPr="00537B92">
              <w:rPr>
                <w:rFonts w:ascii="Arial" w:hAnsi="Arial" w:cs="Arial"/>
                <w:sz w:val="18"/>
                <w:szCs w:val="18"/>
                <w:lang w:val="el-GR"/>
              </w:rPr>
              <w:t>μ</w:t>
            </w:r>
            <w:r w:rsidRPr="00537B92">
              <w:rPr>
                <w:rFonts w:ascii="Arial" w:hAnsi="Arial" w:cs="Arial"/>
                <w:sz w:val="18"/>
                <w:szCs w:val="18"/>
              </w:rPr>
              <w:t>mol/L): kappa = 0.69 (95% CI 0.59, 0.79); P &lt; 0.0001; percentage agreement = 93.1%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 </w:t>
            </w:r>
            <w:r w:rsidRPr="00537B92">
              <w:rPr>
                <w:rFonts w:ascii="Arial" w:hAnsi="Arial" w:cs="Arial"/>
                <w:sz w:val="18"/>
                <w:szCs w:val="18"/>
                <w:lang w:val="el-GR"/>
              </w:rPr>
              <w:t>μ</w:t>
            </w:r>
            <w:r w:rsidRPr="00537B92">
              <w:rPr>
                <w:rFonts w:ascii="Arial" w:hAnsi="Arial" w:cs="Arial"/>
                <w:sz w:val="18"/>
                <w:szCs w:val="18"/>
              </w:rPr>
              <w:t xml:space="preserve">mol/L) and LTA (ADP 10 </w:t>
            </w:r>
            <w:r w:rsidRPr="00537B92">
              <w:rPr>
                <w:rFonts w:ascii="Arial" w:hAnsi="Arial" w:cs="Arial"/>
                <w:sz w:val="18"/>
                <w:szCs w:val="18"/>
                <w:lang w:val="el-GR"/>
              </w:rPr>
              <w:t>μ</w:t>
            </w:r>
            <w:r w:rsidRPr="00537B92">
              <w:rPr>
                <w:rFonts w:ascii="Arial" w:hAnsi="Arial" w:cs="Arial"/>
                <w:sz w:val="18"/>
                <w:szCs w:val="18"/>
              </w:rPr>
              <w:t>mol/L): kappa = 0.63 (95% CI 0.53, 0.73); P &lt; 0.0001; percentage agreement = 90.3%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 </w:t>
            </w:r>
            <w:r w:rsidRPr="00537B92">
              <w:rPr>
                <w:rFonts w:ascii="Arial" w:hAnsi="Arial" w:cs="Arial"/>
                <w:sz w:val="18"/>
                <w:szCs w:val="18"/>
                <w:lang w:val="el-GR"/>
              </w:rPr>
              <w:t>μ</w:t>
            </w:r>
            <w:r w:rsidRPr="00537B92">
              <w:rPr>
                <w:rFonts w:ascii="Arial" w:hAnsi="Arial" w:cs="Arial"/>
                <w:sz w:val="18"/>
                <w:szCs w:val="18"/>
              </w:rPr>
              <w:t xml:space="preserve">mol/L) and LTA (ADP 20 </w:t>
            </w:r>
            <w:r w:rsidRPr="00537B92">
              <w:rPr>
                <w:rFonts w:ascii="Arial" w:hAnsi="Arial" w:cs="Arial"/>
                <w:sz w:val="18"/>
                <w:szCs w:val="18"/>
                <w:lang w:val="el-GR"/>
              </w:rPr>
              <w:t>μ</w:t>
            </w:r>
            <w:r w:rsidRPr="00537B92">
              <w:rPr>
                <w:rFonts w:ascii="Arial" w:hAnsi="Arial" w:cs="Arial"/>
                <w:sz w:val="18"/>
                <w:szCs w:val="18"/>
              </w:rPr>
              <w:t>mol/L): kappa = 0.61 (95% CI 0.51, 0.71); P &lt; 0.0001; percentage agreement = 89.2%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mol/L) and LTA (ADP 10 </w:t>
            </w:r>
            <w:r w:rsidRPr="00537B92">
              <w:rPr>
                <w:rFonts w:ascii="Arial" w:hAnsi="Arial" w:cs="Arial"/>
                <w:sz w:val="18"/>
                <w:szCs w:val="18"/>
                <w:lang w:val="el-GR"/>
              </w:rPr>
              <w:t>μ</w:t>
            </w:r>
            <w:r w:rsidRPr="00537B92">
              <w:rPr>
                <w:rFonts w:ascii="Arial" w:hAnsi="Arial" w:cs="Arial"/>
                <w:sz w:val="18"/>
                <w:szCs w:val="18"/>
              </w:rPr>
              <w:t>mol/L): kappa = 0.68 (95% CI 0.59, 0.77); P &lt; 0.0001; percentage agreement = 91.6%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mol/L) and LTA (ADP 20 </w:t>
            </w:r>
            <w:r w:rsidRPr="00537B92">
              <w:rPr>
                <w:rFonts w:ascii="Arial" w:hAnsi="Arial" w:cs="Arial"/>
                <w:sz w:val="18"/>
                <w:szCs w:val="18"/>
                <w:lang w:val="el-GR"/>
              </w:rPr>
              <w:t>μ</w:t>
            </w:r>
            <w:r w:rsidRPr="00537B92">
              <w:rPr>
                <w:rFonts w:ascii="Arial" w:hAnsi="Arial" w:cs="Arial"/>
                <w:sz w:val="18"/>
                <w:szCs w:val="18"/>
              </w:rPr>
              <w:t>mol/L): kappa = 0.65 (95% CI 0.56, 0.74); P &lt; 0.0001; percentage agreement = 90.6%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10 </w:t>
            </w:r>
            <w:r w:rsidRPr="00537B92">
              <w:rPr>
                <w:rFonts w:ascii="Arial" w:hAnsi="Arial" w:cs="Arial"/>
                <w:sz w:val="18"/>
                <w:szCs w:val="18"/>
                <w:lang w:val="el-GR"/>
              </w:rPr>
              <w:t>μ</w:t>
            </w:r>
            <w:r w:rsidRPr="00537B92">
              <w:rPr>
                <w:rFonts w:ascii="Arial" w:hAnsi="Arial" w:cs="Arial"/>
                <w:sz w:val="18"/>
                <w:szCs w:val="18"/>
              </w:rPr>
              <w:t xml:space="preserve">mol/L) and LTA (ADP 20 </w:t>
            </w:r>
            <w:r w:rsidRPr="00537B92">
              <w:rPr>
                <w:rFonts w:ascii="Arial" w:hAnsi="Arial" w:cs="Arial"/>
                <w:sz w:val="18"/>
                <w:szCs w:val="18"/>
                <w:lang w:val="el-GR"/>
              </w:rPr>
              <w:t>μ</w:t>
            </w:r>
            <w:r w:rsidRPr="00537B92">
              <w:rPr>
                <w:rFonts w:ascii="Arial" w:hAnsi="Arial" w:cs="Arial"/>
                <w:sz w:val="18"/>
                <w:szCs w:val="18"/>
              </w:rPr>
              <w:t>mol/L): kappa = 0.86 (95% CI 0.80, 0.92); P &lt; 0.0001; percentage agreement = 95.9%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and LTA (ADP 10 </w:t>
            </w:r>
            <w:r w:rsidRPr="00537B92">
              <w:rPr>
                <w:rFonts w:ascii="Arial" w:hAnsi="Arial" w:cs="Arial"/>
                <w:sz w:val="18"/>
                <w:szCs w:val="18"/>
                <w:lang w:val="el-GR"/>
              </w:rPr>
              <w:t>μ</w:t>
            </w:r>
            <w:r w:rsidRPr="00537B92">
              <w:rPr>
                <w:rFonts w:ascii="Arial" w:hAnsi="Arial" w:cs="Arial"/>
                <w:sz w:val="18"/>
                <w:szCs w:val="18"/>
              </w:rPr>
              <w:t>mol/L): kappa = 0.51 (95% CI 0.43, 0.60); P &lt; 0.0001; percentage agreement = 82.4%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w:t>
            </w:r>
            <w:r w:rsidRPr="00537B92">
              <w:rPr>
                <w:rFonts w:ascii="Arial" w:hAnsi="Arial" w:cs="Arial"/>
                <w:sz w:val="18"/>
                <w:szCs w:val="18"/>
              </w:rPr>
              <w:lastRenderedPageBreak/>
              <w:t xml:space="preserve">VerifyNow and LTA (ADP 20 </w:t>
            </w:r>
            <w:r w:rsidRPr="00537B92">
              <w:rPr>
                <w:rFonts w:ascii="Arial" w:hAnsi="Arial" w:cs="Arial"/>
                <w:sz w:val="18"/>
                <w:szCs w:val="18"/>
                <w:lang w:val="el-GR"/>
              </w:rPr>
              <w:t>μ</w:t>
            </w:r>
            <w:r w:rsidRPr="00537B92">
              <w:rPr>
                <w:rFonts w:ascii="Arial" w:hAnsi="Arial" w:cs="Arial"/>
                <w:sz w:val="18"/>
                <w:szCs w:val="18"/>
              </w:rPr>
              <w:t>mol/L): kappa = 0.44 (95% CI 0.35, 0.53); P &lt; 0.0001; percentage agreement = 79.6%</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limits of agreement comparing LTA with ADP 10 </w:t>
            </w:r>
            <w:r w:rsidRPr="00537B92">
              <w:rPr>
                <w:rFonts w:ascii="Arial" w:hAnsi="Arial" w:cs="Arial"/>
                <w:sz w:val="18"/>
                <w:szCs w:val="18"/>
                <w:lang w:val="el-GR"/>
              </w:rPr>
              <w:t>μ</w:t>
            </w:r>
            <w:r w:rsidRPr="00537B92">
              <w:rPr>
                <w:rFonts w:ascii="Arial" w:hAnsi="Arial" w:cs="Arial"/>
                <w:sz w:val="18"/>
                <w:szCs w:val="18"/>
              </w:rPr>
              <w:t xml:space="preserve">mol/L and 20 </w:t>
            </w:r>
            <w:r w:rsidRPr="00537B92">
              <w:rPr>
                <w:rFonts w:ascii="Arial" w:hAnsi="Arial" w:cs="Arial"/>
                <w:sz w:val="18"/>
                <w:szCs w:val="18"/>
                <w:lang w:val="el-GR"/>
              </w:rPr>
              <w:t>μ</w:t>
            </w:r>
            <w:r w:rsidRPr="00537B92">
              <w:rPr>
                <w:rFonts w:ascii="Arial" w:hAnsi="Arial" w:cs="Arial"/>
                <w:sz w:val="18"/>
                <w:szCs w:val="18"/>
              </w:rPr>
              <w:t xml:space="preserve">mol/L: mean difference = -0.70% ±4.6% (CI, -9.7%, 8.3%). The difference in platelet reactivity between assays using these ADP concentrations was &gt;20% in 3 samples (out of 466) </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Koessler</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Germany</w:t>
            </w:r>
          </w:p>
          <w:p w:rsidR="00537B92" w:rsidRPr="00537B92" w:rsidRDefault="00537B92" w:rsidP="00537B92">
            <w:pPr>
              <w:rPr>
                <w:rFonts w:ascii="Arial" w:hAnsi="Arial" w:cs="Arial"/>
                <w:sz w:val="18"/>
                <w:szCs w:val="18"/>
              </w:rPr>
            </w:pPr>
            <w:r w:rsidRPr="00537B92">
              <w:rPr>
                <w:rFonts w:ascii="Arial" w:hAnsi="Arial" w:cs="Arial"/>
                <w:sz w:val="18"/>
                <w:szCs w:val="18"/>
              </w:rPr>
              <w:t>20873965</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with stable coronary artery disease under dual antiplatelet therapy who underwent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(collagen/ADP)</w:t>
            </w:r>
          </w:p>
          <w:p w:rsidR="00537B92" w:rsidRPr="00537B92" w:rsidRDefault="00537B92" w:rsidP="00537B92">
            <w:pPr>
              <w:rPr>
                <w:rFonts w:ascii="Arial" w:hAnsi="Arial" w:cs="Arial"/>
                <w:sz w:val="18"/>
                <w:szCs w:val="18"/>
              </w:rPr>
            </w:pPr>
            <w:r w:rsidRPr="00537B92">
              <w:rPr>
                <w:rFonts w:ascii="Arial" w:hAnsi="Arial" w:cs="Arial"/>
                <w:sz w:val="18"/>
                <w:szCs w:val="18"/>
              </w:rPr>
              <w:t>[INNOVANCE PFA-100 P2Y*, Dade Behring (now Siemens), Marburg,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VASP/P2Y12, BioCytex, Marseille, France]; using flow cytometry [FACScan, Becton Dickinson, Heidelberg, Germany]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The intended timing of measurements was not reported for the patient group; in the total population (n=50) samples were obtained on average 1.4 days post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were on dual antiplatelet treatment (aspirin + clopidogrel).</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the PFA-100 assay (at different thresholds) and VASP phosphorylation assay; analytic sensitivity and specificity of PFA-100 against VASP phosphorylation assay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50 patients measured with both tests; alternative cut-offs applied to the PFA-100 measurements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Analytic sensitivity of INNOVANCE PFA-100 (cut-off 106 sec) against VASP (cut-off of PRI 50%) = 100% (among 31 responders)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of INNOVANCE PFA-100 (cut-off 106 sec) against VASP (cut-off of PRI 50%) = 42% (among 19 non-responders)</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Highest agreement between INNOVANCE PFA-100 and VASP assay was achieved using a cut-off of 200 sec for the former and 55% for the latter (Cohen’s kappa = 0.66). Using these cut-offs the analytic sensitivity of PFA-100 is 97% and specificity = 65%. Results at additional thresholds (where agreement was lower) are presented in Figure 5 of the paper. </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Paniccia</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Italy</w:t>
            </w:r>
          </w:p>
          <w:p w:rsidR="00537B92" w:rsidRPr="00537B92" w:rsidRDefault="00537B92" w:rsidP="00537B92">
            <w:pPr>
              <w:rPr>
                <w:rFonts w:ascii="Arial" w:hAnsi="Arial" w:cs="Arial"/>
                <w:sz w:val="18"/>
                <w:szCs w:val="18"/>
              </w:rPr>
            </w:pPr>
            <w:r w:rsidRPr="00537B92">
              <w:rPr>
                <w:rFonts w:ascii="Arial" w:hAnsi="Arial" w:cs="Arial"/>
                <w:sz w:val="18"/>
                <w:szCs w:val="18"/>
              </w:rPr>
              <w:t>20458439</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Adult patients referred to a single vascular disease center enrolled in a registry of ACS; patients underwent PCI with stent implantation</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[APACT-4004 aggregometer, LABiTec, Ahrensburg,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M final concentration)</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collected 24 or 48 h after the end of PCI; PCI was performed 3-6 h after the ACS. All assays were performed within 2 h of blood sampling.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Acetylsalicylic acid (500 mg IV) followed by aspirin (maintenance 100-325 mg) + clopidogrel (300-600 mg loading dose) followed by maintenance dosing (75 mg daily). None of the investigated patients received other platelet function inhibitors (including IIb/IIIa receptor inhibitors).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3 assays for assessment of agreement; cut-offs for residual platelet reactivity were based on prior literature. For the assessment of reliability, repeat measurements on samples from smaller groups of patients were performed (adequate information for the assessment of reliability was provided for LTA only)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801 samples for the assessment of agreement; 5 samples from each of 10 patients of the assessment of reliability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Multiplate analyzer and LTA: out of a total of 801 samples, 102 samples were positive with both tests; 609 samples were negative with both tests; 27 samples were positive by LTA but not the Multiplate analyzer; 63 samples were positive by the Multiplate analyzer but not LTA. Agreement kappa = 0.63 (95% CI 0.56, 0.70); P &lt; 0.0001.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Multiplate analyzer and VerifyNow: out of a total of 801 samples, 132 samples were bositive by both tests; 521 samples were negative by both tests; 33 samples were positive by Multiplate analyzer but negative by VerifyNow; 115 samples were positive by VerifyNow but not Multiplate analyzer. Agreement kappa = 0.52 (95% CI 0.46, 0.58); P &lt; 0.0001. </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VerifyNow and LTA: out of a total of 801 samples, 105 samples were positive by both tests; 635 samples were negative by both tests; 24 samples were positive by LTA but not VerifyNow; 142 samples were positive by VerifyNow but not LTA. Agreement kappa = 0.44 (95% CI 0.38, 0.50); P &lt; 0.0001</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Ko</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Korea</w:t>
            </w:r>
          </w:p>
          <w:p w:rsidR="00537B92" w:rsidRPr="00537B92" w:rsidRDefault="00537B92" w:rsidP="00537B92">
            <w:pPr>
              <w:rPr>
                <w:rFonts w:ascii="Arial" w:hAnsi="Arial" w:cs="Arial"/>
                <w:sz w:val="18"/>
                <w:szCs w:val="18"/>
              </w:rPr>
            </w:pPr>
            <w:r w:rsidRPr="00537B92">
              <w:rPr>
                <w:rFonts w:ascii="Arial" w:hAnsi="Arial" w:cs="Arial"/>
                <w:sz w:val="18"/>
                <w:szCs w:val="18"/>
              </w:rPr>
              <w:t>21315223</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CAD patients undergoing PCI in two university hospitals; all patients received drug eluting stents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additional details not reported]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additional details not reported]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in the catheterization room through the femoral catheter, before the administration of heparin</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were pre-treated with aspirin (100 mg/d) and clopidogrel (75 mg/d) ≥ 5 d before the procedure, or received oral loading doses of aspirin (250 mg) and clopidogrel (300 mg) 12-24 h before the procedure.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using both tests to calculate limits of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Data from both tests were available from 222 patients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limits of agreement between VerifyNow PRU and Multiplate analyzer = -17.1 (SD = 232.1) with 95% limits of agreement from -472.0 to 437.8</w:t>
            </w:r>
          </w:p>
        </w:tc>
      </w:tr>
      <w:tr w:rsidR="00537B92" w:rsidRPr="00537B92" w:rsidTr="007B0DD7">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Aradi</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Hungary</w:t>
            </w:r>
          </w:p>
          <w:p w:rsidR="00537B92" w:rsidRPr="00537B92" w:rsidRDefault="00537B92" w:rsidP="00537B92">
            <w:pPr>
              <w:rPr>
                <w:rFonts w:ascii="Arial" w:hAnsi="Arial" w:cs="Arial"/>
                <w:sz w:val="18"/>
                <w:szCs w:val="18"/>
              </w:rPr>
            </w:pPr>
            <w:r w:rsidRPr="00537B92">
              <w:rPr>
                <w:rFonts w:ascii="Arial" w:hAnsi="Arial" w:cs="Arial"/>
                <w:sz w:val="18"/>
                <w:szCs w:val="18"/>
              </w:rPr>
              <w:t>20642320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Prospectively recruited clopidogrel-naïve stable angina patients with planned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w:t>
            </w:r>
            <w:r w:rsidRPr="00537B92">
              <w:rPr>
                <w:rFonts w:ascii="Arial" w:hAnsi="Arial" w:cs="Arial"/>
                <w:sz w:val="18"/>
                <w:szCs w:val="18"/>
                <w:lang w:val="el-GR"/>
              </w:rPr>
              <w:t>μ</w:t>
            </w:r>
            <w:r w:rsidRPr="00537B92">
              <w:rPr>
                <w:rFonts w:ascii="Arial" w:hAnsi="Arial" w:cs="Arial"/>
                <w:sz w:val="18"/>
                <w:szCs w:val="18"/>
              </w:rPr>
              <w:t xml:space="preserve">M and epinephrine, 10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[CARAT TX4 aggregometer, Carat Diagnostics, Budapest, Hungary]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VASP/P2Y12 kit, BioCytex, Marseille, France]; using flow cytometry [Beckman Coulter flow cytometer, no additional details reported]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12-18 h post-clopidogrel loading and at 25 ± 2 d after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All patients received clopidogrel (600 mg) and aspirin (300 mg) loading doses after angiography and immediately before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both assays (and different reactivity indexes from the same assay) to obtain limits of agreement; repeat measurements were obtained after clopidogrel loading and 25 ± 2 d after PCI but were treated as independent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242 samples from 121 patients, all assessed with both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maximal aggregation by LTA and PRI VASP measurements = +1.3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late aggregation by LTA and PRI VASP measurements; bias = -10.6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disaggregation by LTA and PRI VASP measurements; bias = -19.9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Bland-Altman analysis comparing LTA AUC of the light transmission curve and PRI VASP; bias measurements = -15.1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The authors noted the presence of substantial heteroscedasticity in the Bland-Altman plots for the last three of the four analyses listed above.†</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accuracy using PRI VASP (50% cut-off) as the reference standard: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Maximal aggregation by LTA (34.5% cut-off, based on ROC analysis):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Specificity = 79.4%</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Sensitivity = 61.3%</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Concordant pairs = 71.1%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Discordant pairs = 28.9%</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Kappa = 0.4 (P&lt;0.001)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AUC (95% CI) = 0.75 (0.68, 0.81); </w:t>
            </w:r>
            <w:r w:rsidRPr="00537B92">
              <w:rPr>
                <w:rFonts w:ascii="Arial" w:hAnsi="Arial" w:cs="Arial"/>
                <w:sz w:val="18"/>
                <w:szCs w:val="18"/>
              </w:rPr>
              <w:lastRenderedPageBreak/>
              <w:t>P&lt;0.0001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Late aggregation by LTA (12% cut-off, based on ROC analysis):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Specificity = 83.2%</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Sensitivity = 62.2%</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Concordant pairs = 73.1%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Discordant pairs = 26.9%</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Kappa = 0.45; P&lt;0.001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AUC (95% CI) = 0.73 (0.67, 0.80)</w:t>
            </w:r>
          </w:p>
          <w:p w:rsidR="00537B92" w:rsidRPr="00537B92" w:rsidRDefault="00537B92" w:rsidP="00537B92">
            <w:pPr>
              <w:rPr>
                <w:rFonts w:ascii="Arial" w:hAnsi="Arial" w:cs="Arial"/>
                <w:sz w:val="18"/>
                <w:szCs w:val="18"/>
              </w:rPr>
            </w:pPr>
            <w:r w:rsidRPr="00537B92">
              <w:rPr>
                <w:rFonts w:ascii="Arial" w:hAnsi="Arial" w:cs="Arial"/>
                <w:sz w:val="18"/>
                <w:szCs w:val="18"/>
              </w:rPr>
              <w:t>- Disaggregation by LTA (63.5% cut-off, based on ROC analysis):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Specificity = 80.2%</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Sensitivity = 63.1%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Concordant pairs = 72.7%</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Discordant pairs = 27.3%</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Kappa = 0.44; P&lt;0.001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AUC (95% CI) = 0.71 (0.64, 0.78); P&lt;0.0001</w:t>
            </w:r>
          </w:p>
          <w:p w:rsidR="00537B92" w:rsidRPr="00537B92" w:rsidRDefault="00537B92" w:rsidP="00537B92">
            <w:pPr>
              <w:rPr>
                <w:rFonts w:ascii="Arial" w:hAnsi="Arial" w:cs="Arial"/>
                <w:sz w:val="18"/>
                <w:szCs w:val="18"/>
              </w:rPr>
            </w:pPr>
            <w:r w:rsidRPr="00537B92">
              <w:rPr>
                <w:rFonts w:ascii="Arial" w:hAnsi="Arial" w:cs="Arial"/>
                <w:sz w:val="18"/>
                <w:szCs w:val="18"/>
              </w:rPr>
              <w:t>- AUC of LTA light transmission curve (82xmin cut-off, based on ROC analysis):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Specificity = 86.7%</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 Sensitivity = 60.8%</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Concordant pairs = 72.3%</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Discordant pairs = 27.7%</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Kappa = 0.44; P&lt;0.001</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AUC (95% CI) = 0.76 (0.69-0.82); P&lt;0.0001</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Woo</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Korea</w:t>
            </w:r>
          </w:p>
          <w:p w:rsidR="00537B92" w:rsidRPr="00537B92" w:rsidRDefault="00537B92" w:rsidP="00537B92">
            <w:pPr>
              <w:rPr>
                <w:rFonts w:ascii="Arial" w:hAnsi="Arial" w:cs="Arial"/>
                <w:sz w:val="18"/>
                <w:szCs w:val="18"/>
              </w:rPr>
            </w:pPr>
            <w:r w:rsidRPr="00537B92">
              <w:rPr>
                <w:rFonts w:ascii="Arial" w:hAnsi="Arial" w:cs="Arial"/>
                <w:sz w:val="18"/>
                <w:szCs w:val="18"/>
              </w:rPr>
              <w:t>20890076</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with CAD scheduled to undergo PCI with DES placement in a single center.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[Chronolog impedance aggregometer Series 590, Probe and Co., Endingen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VASP/P2Y12 kit, BioCytex, Marseille, France]; using flow cytometry [no additional details reported]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collected “just before”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All patients were administered lading doses of aspirin (300 mg), clopidogrel (300 mg), and cilostazol (200 mg) ≥ 12 h before stenting.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4 assays to assess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66 patients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VerifyNow, kappa = 0.25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Multiplate analyzer, kappa = 0.21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PRI VASP assay, kappa = 0.14</w:t>
            </w:r>
          </w:p>
        </w:tc>
      </w:tr>
      <w:tr w:rsidR="00537B92" w:rsidRPr="00537B92" w:rsidTr="007B0DD7">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Madsen</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20224050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undergoing PCI at a single center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[Chrono-Log Lumi Aggregometer, model </w:t>
            </w:r>
            <w:r w:rsidRPr="00537B92">
              <w:rPr>
                <w:rFonts w:ascii="Arial" w:hAnsi="Arial" w:cs="Arial"/>
                <w:sz w:val="18"/>
                <w:szCs w:val="18"/>
              </w:rPr>
              <w:lastRenderedPageBreak/>
              <w:t>810; Chrono-Log Corporation, no additional details provided]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no additional details provided]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TEG</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[TEG Hemostasis Analyzer, Haemonetics Corporation, no additional details provided]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Before PCI and on 1 d, 1 mo, 6 mo, and 12 mo, post-treatment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“Just before” PCI patients received 600 mg of clopidogrel; during </w:t>
            </w:r>
            <w:r w:rsidRPr="00537B92">
              <w:rPr>
                <w:rFonts w:ascii="Arial" w:hAnsi="Arial" w:cs="Arial"/>
                <w:sz w:val="18"/>
                <w:szCs w:val="18"/>
              </w:rPr>
              <w:lastRenderedPageBreak/>
              <w:t>the procedure use of tirofiban or eptifibatide was permitted but their administration was to be stopped ≥ 10 h before blood was drawn; abciximab was not permitted. Aspirin (325 mg/d) and clopidogrel (75 mg/day) were administered for a year post-PCI.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Measurement of samples with all three techniques and comparison of </w:t>
            </w:r>
            <w:r w:rsidRPr="00537B92">
              <w:rPr>
                <w:rFonts w:ascii="Arial" w:hAnsi="Arial" w:cs="Arial"/>
                <w:sz w:val="18"/>
                <w:szCs w:val="18"/>
              </w:rPr>
              <w:lastRenderedPageBreak/>
              <w:t>measurements for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33 patients, 26 of whom completed all study visits. Patients </w:t>
            </w:r>
            <w:r w:rsidRPr="00537B92">
              <w:rPr>
                <w:rFonts w:ascii="Arial" w:hAnsi="Arial" w:cs="Arial"/>
                <w:sz w:val="18"/>
                <w:szCs w:val="18"/>
              </w:rPr>
              <w:lastRenderedPageBreak/>
              <w:t xml:space="preserve">contributed samples at multiple timepoints and measurements were considered independent. The total number of measurements for each comparison was not reported; as such data are incomplete for the assessment of agreement.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Agreement between absolute maximal ADP aggregation (50% cut-off) and </w:t>
            </w:r>
            <w:r w:rsidRPr="00537B92">
              <w:rPr>
                <w:rFonts w:ascii="Arial" w:hAnsi="Arial" w:cs="Arial"/>
                <w:sz w:val="18"/>
                <w:szCs w:val="18"/>
              </w:rPr>
              <w:lastRenderedPageBreak/>
              <w:t xml:space="preserve">change in aggregation (cut-off 10%) by LTA: “low response” by both tests, 1; “normal response” by change in aggregation but not absolute aggregation, 6; “normal response” by absolute aggregation but not change in aggregation, 14. </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VerifyNow and change in aggregation (cut-off 10%) by LTA: “low response” by both tests, 1; “normal response” by change in aggregation but not VerifyNow, 3; “normal response” by VerifyNow but not change in aggregation, 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TEG and change in aggregation (cut-off 10%) by LTA: “low response” by both tests, 1; “normal response” by change </w:t>
            </w:r>
            <w:r w:rsidRPr="00537B92">
              <w:rPr>
                <w:rFonts w:ascii="Arial" w:hAnsi="Arial" w:cs="Arial"/>
                <w:sz w:val="18"/>
                <w:szCs w:val="18"/>
              </w:rPr>
              <w:lastRenderedPageBreak/>
              <w:t>in aggregation but not TEG, 12; “normal response” by TEG but not change in aggregation, 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VerifyNow and absolute maximal aggregation (cut-off 50%) by LTA: “low response” by both tests, 3; “normal response” by absolute aggregation but not VerifyNow, 1; “normal response” by VerifyNow but not change in aggregation, 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TEG and absolute aggregation (cut-off 50%) by LTA: “low response” by both tests, 2; “normal response” by absolute aggregation but not TEG, 15; “normal response” by TEG but not change in aggregation, 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and TEG: </w:t>
            </w:r>
            <w:r w:rsidRPr="00537B92">
              <w:rPr>
                <w:rFonts w:ascii="Arial" w:hAnsi="Arial" w:cs="Arial"/>
                <w:sz w:val="18"/>
                <w:szCs w:val="18"/>
              </w:rPr>
              <w:lastRenderedPageBreak/>
              <w:t>“low response” by both tests, 1; “normal response” by TEG but not VerifyNow, 1; “normal response” by VerifyNow but not TEG, 14.</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Siller-Matula</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Austria</w:t>
            </w:r>
          </w:p>
          <w:p w:rsidR="00537B92" w:rsidRPr="00537B92" w:rsidRDefault="00537B92" w:rsidP="00537B92">
            <w:pPr>
              <w:rPr>
                <w:rFonts w:ascii="Arial" w:hAnsi="Arial" w:cs="Arial"/>
                <w:sz w:val="18"/>
                <w:szCs w:val="18"/>
              </w:rPr>
            </w:pPr>
            <w:r w:rsidRPr="00537B92">
              <w:rPr>
                <w:rFonts w:ascii="Arial" w:hAnsi="Arial" w:cs="Arial"/>
                <w:sz w:val="18"/>
                <w:szCs w:val="18"/>
              </w:rPr>
              <w:t>19943879</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Single center prospective observational study of patients undergoing PCI with stent implantation ≥2 hours after clopidogrel loading. The majority of patients were undergoing elective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VASP/P2Y12 kit, BioCytex, Marseille, France]; using flow cytometry [FACSCalibur System, BD Biosciences, Vienna, Austria]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Blood samples were obtained in the catheterization laboratory “directly after” PCI and at least 5 min after the IV administration of aspirin</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326 patients were on chronic clopidogrel treatment; 90 patients received a clopidogrel loading dose (600mg) within 2 d before PCI, followed by a maintenance dose of 75 mg. All patients received 250 mg of IV acetylsalicylic acid directly after stent placement, followed by a daily dose of 100 mg. Patients receiving IIb/IIIa inhibitors were excluded from analyses with the Multiplate analyzer.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both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402 patients with results available from both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Multiplate analyzer and VASP assay: “non-responders” by both tests, 54 (13%); “responders” by both tests, 138 (34%); “non-responders” by Multiplate analyzer but “responders” by VASP, 7 (2%); “responders” by Multiplate analyzer but “non-responders” by VASP assay, 203 (51%)</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 for agreement between VASP assay and Multiplate analyzer*: average difference (bias) = 21; 95% limits of agreement, -34 to 78</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Cuisset</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France</w:t>
            </w:r>
          </w:p>
          <w:p w:rsidR="00537B92" w:rsidRPr="00537B92" w:rsidRDefault="00537B92" w:rsidP="00537B92">
            <w:pPr>
              <w:rPr>
                <w:rFonts w:ascii="Arial" w:hAnsi="Arial" w:cs="Arial"/>
                <w:sz w:val="18"/>
                <w:szCs w:val="18"/>
              </w:rPr>
            </w:pPr>
            <w:r w:rsidRPr="00537B92">
              <w:rPr>
                <w:rFonts w:ascii="Arial" w:hAnsi="Arial" w:cs="Arial"/>
                <w:sz w:val="18"/>
                <w:szCs w:val="18"/>
              </w:rPr>
              <w:t>20142119</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admitted to a single institution for NSTE ACS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w:t>
            </w:r>
            <w:r w:rsidRPr="00537B92">
              <w:rPr>
                <w:rFonts w:ascii="Arial" w:hAnsi="Arial" w:cs="Arial"/>
                <w:sz w:val="18"/>
                <w:szCs w:val="18"/>
              </w:rPr>
              <w:t xml:space="preserve">mol/L) </w:t>
            </w:r>
          </w:p>
          <w:p w:rsidR="00537B92" w:rsidRPr="00537B92" w:rsidRDefault="00537B92" w:rsidP="00537B92">
            <w:pPr>
              <w:rPr>
                <w:rFonts w:ascii="Arial" w:hAnsi="Arial" w:cs="Arial"/>
                <w:sz w:val="18"/>
                <w:szCs w:val="18"/>
              </w:rPr>
            </w:pPr>
            <w:r w:rsidRPr="00537B92">
              <w:rPr>
                <w:rFonts w:ascii="Arial" w:hAnsi="Arial" w:cs="Arial"/>
                <w:sz w:val="18"/>
                <w:szCs w:val="18"/>
              </w:rPr>
              <w:t>[PAP4, Biodata Corporation, Wellcome, Paris, France]</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VASP-FCM kit, Diagnostic Stago (BioCytex), Asnieres, France]; using flow cytometry [no additional details reported]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drawn 1 mo after discharge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received oral loading doses of aspiring (250 mg) and clopidogrel (600 mg) at least 12 h before stenting</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patient samples with all three assays to determine limits of agreement and kappa statistics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70 patients, assessed with all 3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aggregation by LTA versus PRI VASP*: bias = 10.6; 95% limits of agreement, -23.3, 44.4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aggregation by LTA versus VerifyNow PRU*: bias = -146.4; 95% limits of agreement, -331.6, 39.0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 comparing PRI VASP versus VerifyNow PRU*: bias = -156.9; 95% limits of agreement, -342.1, 28.3</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(cut-off 70%) and VASP PRI: kappa = 0.35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VerifyNow PRU and LTA (cut-off 70%): kappa = 0.36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PRI and VerifyNow PRU: kappa = 0.46</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Additional analysis using a different threshold: </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(cut-off 50%) and VASP PRI: kappa = 0.42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VerifyNow PRU and LTA (cut-off 50%): kappa = 0.52</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Smit</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Netherlands</w:t>
            </w:r>
          </w:p>
          <w:p w:rsidR="00537B92" w:rsidRPr="00537B92" w:rsidRDefault="00537B92" w:rsidP="00537B92">
            <w:pPr>
              <w:rPr>
                <w:rFonts w:ascii="Arial" w:hAnsi="Arial" w:cs="Arial"/>
                <w:sz w:val="18"/>
                <w:szCs w:val="18"/>
              </w:rPr>
            </w:pPr>
            <w:r w:rsidRPr="00537B92">
              <w:rPr>
                <w:rFonts w:ascii="Arial" w:hAnsi="Arial" w:cs="Arial"/>
                <w:sz w:val="18"/>
                <w:szCs w:val="18"/>
              </w:rPr>
              <w:t>19200163</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participating in a multicenter trial of tirofiban vs. placebo (On-TIME 2 study) for STEMI requiring PCI</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Fe-induced platelet aggregation [samples were added to tubes containing 100 mg of steel wool (Haemoscan, Groningen, Netherlands)] and a platelet counter was use to assess platelet aggregation (against a control tube no containing iron). </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Plateletworks</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20 </w:t>
            </w:r>
            <w:r w:rsidRPr="00537B92">
              <w:rPr>
                <w:rFonts w:ascii="Arial" w:hAnsi="Arial" w:cs="Arial"/>
                <w:sz w:val="18"/>
                <w:szCs w:val="18"/>
                <w:lang w:val="el-GR"/>
              </w:rPr>
              <w:t>μ</w:t>
            </w:r>
            <w:r w:rsidRPr="00537B92">
              <w:rPr>
                <w:rFonts w:ascii="Arial" w:hAnsi="Arial" w:cs="Arial"/>
                <w:sz w:val="18"/>
                <w:szCs w:val="18"/>
              </w:rPr>
              <w:t>M/L)</w:t>
            </w:r>
          </w:p>
          <w:p w:rsidR="00537B92" w:rsidRPr="00537B92" w:rsidRDefault="00537B92" w:rsidP="00537B92">
            <w:pPr>
              <w:rPr>
                <w:rFonts w:ascii="Arial" w:hAnsi="Arial" w:cs="Arial"/>
                <w:sz w:val="18"/>
                <w:szCs w:val="18"/>
              </w:rPr>
            </w:pPr>
            <w:r w:rsidRPr="00537B92">
              <w:rPr>
                <w:rFonts w:ascii="Arial" w:hAnsi="Arial" w:cs="Arial"/>
                <w:sz w:val="18"/>
                <w:szCs w:val="18"/>
              </w:rPr>
              <w:t>[PlateletWorks, Helena Laboratories, Beaumont, TX]</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before PCI, but after the patients received the study medication (tirofiban or placebo) and antiplatelets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Before testing, patients received clopidogrel (600 mg orally) and acetylsalicylic acid (500 mg IV); blood was drawn at the “start of catheterization”</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three assays to assess limits of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111 patients (53 randomized to tirofiban and 58 randomized to placebo)</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comparison between duplicate measurements using the iron-based assay: the mean was close to 0 (exact result not reported) and in ~6/111 samples were outside “limits of agreement of ±20%” (see also Figure 2 of the paper).</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comparison of the iron-based assay versus Plateletworks (ADP as the agonist): ~4/111 samples were outside limits of agreement of ±40% (see also Figure 4 of the paper).</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Gremmel</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Austria</w:t>
            </w:r>
          </w:p>
          <w:p w:rsidR="00537B92" w:rsidRPr="00537B92" w:rsidRDefault="00537B92" w:rsidP="00537B92">
            <w:pPr>
              <w:rPr>
                <w:rFonts w:ascii="Arial" w:hAnsi="Arial" w:cs="Arial"/>
                <w:sz w:val="18"/>
                <w:szCs w:val="18"/>
              </w:rPr>
            </w:pPr>
            <w:r w:rsidRPr="00537B92">
              <w:rPr>
                <w:rFonts w:ascii="Arial" w:hAnsi="Arial" w:cs="Arial"/>
                <w:sz w:val="18"/>
                <w:szCs w:val="18"/>
              </w:rPr>
              <w:t>19190818</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with peripheral, coronary, or carotid artery disease after elective percutaneous intervention with endovascular stent implantation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10 </w:t>
            </w:r>
            <w:r w:rsidRPr="00537B92">
              <w:rPr>
                <w:rFonts w:ascii="Arial" w:hAnsi="Arial" w:cs="Arial"/>
                <w:sz w:val="18"/>
                <w:szCs w:val="18"/>
                <w:lang w:val="el-GR"/>
              </w:rPr>
              <w:t>μΜ</w:t>
            </w:r>
            <w:r w:rsidRPr="00537B92">
              <w:rPr>
                <w:rFonts w:ascii="Arial" w:hAnsi="Arial" w:cs="Arial"/>
                <w:sz w:val="18"/>
                <w:szCs w:val="18"/>
              </w:rPr>
              <w:t xml:space="preserve">) </w:t>
            </w:r>
          </w:p>
          <w:p w:rsidR="00537B92" w:rsidRPr="00537B92" w:rsidRDefault="00537B92" w:rsidP="00537B92">
            <w:pPr>
              <w:rPr>
                <w:rFonts w:ascii="Arial" w:hAnsi="Arial" w:cs="Arial"/>
                <w:sz w:val="18"/>
                <w:szCs w:val="18"/>
              </w:rPr>
            </w:pPr>
            <w:r w:rsidRPr="00537B92">
              <w:rPr>
                <w:rFonts w:ascii="Arial" w:hAnsi="Arial" w:cs="Arial"/>
                <w:sz w:val="18"/>
                <w:szCs w:val="18"/>
              </w:rPr>
              <w:t>[</w:t>
            </w:r>
            <w:r w:rsidRPr="00537B92">
              <w:rPr>
                <w:rFonts w:ascii="Arial" w:hAnsi="Arial" w:cs="Arial"/>
                <w:sz w:val="18"/>
                <w:szCs w:val="18"/>
                <w:lang w:val="el-GR"/>
              </w:rPr>
              <w:t>Α</w:t>
            </w:r>
            <w:r w:rsidRPr="00537B92">
              <w:rPr>
                <w:rFonts w:ascii="Arial" w:hAnsi="Arial" w:cs="Arial"/>
                <w:sz w:val="18"/>
                <w:szCs w:val="18"/>
              </w:rPr>
              <w:t>PACT 4S Plus aggregometer, LABiTec, Ahrensburg,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[Platelet VASP kit, Diagnostica Stago, BioCytex, Marseille, France]; using flow cytometry [FACSCalibur system, Becton Dickinson, BD Biosciences, Vienna, Austria]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6.4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Cone and plate analyzer</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1.36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[Impact-R test, DiaMed, Cressier, Switzerland]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Samples were obtained 24 h after the percutaneous intervention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had received acetylsalicylic acid (100 mg/d) at least 2 w prior to the percutaneous intervention. All patients received a loading dose of clopidogrel (300 mg) 24 h prior to the intervention, </w:t>
            </w:r>
            <w:r w:rsidRPr="00537B92">
              <w:rPr>
                <w:rFonts w:ascii="Arial" w:hAnsi="Arial" w:cs="Arial"/>
                <w:sz w:val="18"/>
                <w:szCs w:val="18"/>
              </w:rPr>
              <w:lastRenderedPageBreak/>
              <w:t>followed by a maintenance dose of 75 mg/day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Measurement of samples with 5 methods; assessment of correlations between methods, agreement between methods, and analytic sensitivity and specificity using LTA as the reference standard </w:t>
            </w:r>
            <w:r w:rsidRPr="00537B92">
              <w:rPr>
                <w:rFonts w:ascii="Arial" w:hAnsi="Arial" w:cs="Arial"/>
                <w:sz w:val="18"/>
                <w:szCs w:val="18"/>
              </w:rPr>
              <w:lastRenderedPageBreak/>
              <w:t>test (treated as a gold standard)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80 patients assessed with 5 assays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Analytic performance, using LTA as the reference standard (20 positive samples):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-VerifyNow, 55%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VASP assay,45%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-Multiplate analyzer, 35%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Impact-R, 40%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 -VerifyNow, 85%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VASP assay, 81.7%</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-Multiplate analyzer, 78.3%</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Impact-R, 78.3%</w:t>
            </w:r>
          </w:p>
          <w:p w:rsidR="00537B92" w:rsidRPr="00537B92" w:rsidRDefault="00537B92" w:rsidP="00537B92">
            <w:pPr>
              <w:rPr>
                <w:rFonts w:ascii="Arial" w:hAnsi="Arial" w:cs="Arial"/>
                <w:sz w:val="18"/>
                <w:szCs w:val="18"/>
              </w:rPr>
            </w:pPr>
            <w:r w:rsidRPr="00537B92">
              <w:rPr>
                <w:rFonts w:ascii="Arial" w:hAnsi="Arial" w:cs="Arial"/>
                <w:sz w:val="18"/>
                <w:szCs w:val="18"/>
              </w:rPr>
              <w:t>Analytic positive predictive value</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-VerifyNow, 55%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VASP assay, 45%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-Multiplate analyzer, 35%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Impact-R, 38.1%</w:t>
            </w:r>
          </w:p>
          <w:p w:rsidR="00537B92" w:rsidRPr="00537B92" w:rsidRDefault="00537B92" w:rsidP="00537B92">
            <w:pPr>
              <w:rPr>
                <w:rFonts w:ascii="Arial" w:hAnsi="Arial" w:cs="Arial"/>
                <w:sz w:val="18"/>
                <w:szCs w:val="18"/>
              </w:rPr>
            </w:pPr>
            <w:r w:rsidRPr="00537B92">
              <w:rPr>
                <w:rFonts w:ascii="Arial" w:hAnsi="Arial" w:cs="Arial"/>
                <w:sz w:val="18"/>
                <w:szCs w:val="18"/>
              </w:rPr>
              <w:t>Analytic negative predictive value</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-VerifyNow, 85%</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 VASP assay, 81.7%</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 -Multiplate analyzer, 78.3%</w:t>
            </w:r>
          </w:p>
          <w:p w:rsidR="00537B92" w:rsidRPr="00537B92" w:rsidRDefault="00537B92" w:rsidP="00537B92">
            <w:pPr>
              <w:pBdr>
                <w:bottom w:val="single" w:sz="4" w:space="1" w:color="auto"/>
              </w:pBdr>
              <w:rPr>
                <w:rFonts w:ascii="Arial" w:hAnsi="Arial" w:cs="Arial"/>
                <w:sz w:val="18"/>
                <w:szCs w:val="18"/>
              </w:rPr>
            </w:pPr>
            <w:r w:rsidRPr="00537B92">
              <w:rPr>
                <w:rFonts w:ascii="Arial" w:hAnsi="Arial" w:cs="Arial"/>
                <w:sz w:val="18"/>
                <w:szCs w:val="18"/>
              </w:rPr>
              <w:t xml:space="preserve"> - Impact-R, 79.7%</w:t>
            </w: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VerifyNow: concordant positive samples = 11; concordant negative samples = 51; positive with LTA but not VerifyNow = 9; positive with VerifyNow but not LTA = 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and VASP assay: concordant positive samples = 9; concordant negative </w:t>
            </w:r>
            <w:r w:rsidRPr="00537B92">
              <w:rPr>
                <w:rFonts w:ascii="Arial" w:hAnsi="Arial" w:cs="Arial"/>
                <w:sz w:val="18"/>
                <w:szCs w:val="18"/>
              </w:rPr>
              <w:lastRenderedPageBreak/>
              <w:t>samples = 49; positive with LTA but not VASP assay = 11; positive with VASP assay but not LTA = 11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Multiplate analyzer: concordant positive samples = 7; concordant negative samples = 47; positive with LTA but not Multiplate analyzer = 13; positive with Multiplate analyzer but not LTA = 13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Impact-R: concordant positive samples = 8; concordant negative samples = 47; positive with LTA but not Impact-R = 12; positive with Impact-R but not LTA = 13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Cut-offs for all assays were based on quartiles of the observed measurement </w:t>
            </w:r>
            <w:r w:rsidRPr="00537B92">
              <w:rPr>
                <w:rFonts w:ascii="Arial" w:hAnsi="Arial" w:cs="Arial"/>
                <w:sz w:val="18"/>
                <w:szCs w:val="18"/>
              </w:rPr>
              <w:lastRenderedPageBreak/>
              <w:t>distribution (most extreme reactivity quartile vs. all others).</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Schafer</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Germany</w:t>
            </w:r>
          </w:p>
          <w:p w:rsidR="00537B92" w:rsidRPr="00537B92" w:rsidRDefault="00537B92" w:rsidP="00537B92">
            <w:pPr>
              <w:rPr>
                <w:rFonts w:ascii="Arial" w:hAnsi="Arial" w:cs="Arial"/>
                <w:sz w:val="18"/>
                <w:szCs w:val="18"/>
              </w:rPr>
            </w:pPr>
            <w:r w:rsidRPr="00537B92">
              <w:rPr>
                <w:rFonts w:ascii="Arial" w:hAnsi="Arial" w:cs="Arial"/>
                <w:sz w:val="18"/>
                <w:szCs w:val="18"/>
              </w:rPr>
              <w:t>18841284</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CAD admitted to a single center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20 </w:t>
            </w:r>
            <w:r w:rsidRPr="00537B92">
              <w:rPr>
                <w:rFonts w:ascii="Arial" w:hAnsi="Arial" w:cs="Arial"/>
                <w:sz w:val="18"/>
                <w:szCs w:val="18"/>
                <w:lang w:val="el-GR"/>
              </w:rPr>
              <w:t>μΜ</w:t>
            </w:r>
            <w:r w:rsidRPr="00537B92">
              <w:rPr>
                <w:rFonts w:ascii="Arial" w:hAnsi="Arial" w:cs="Arial"/>
                <w:sz w:val="18"/>
                <w:szCs w:val="18"/>
              </w:rPr>
              <w:t xml:space="preserve">) </w:t>
            </w:r>
          </w:p>
          <w:p w:rsidR="00537B92" w:rsidRPr="00537B92" w:rsidRDefault="00537B92" w:rsidP="00537B92">
            <w:pPr>
              <w:rPr>
                <w:rFonts w:ascii="Arial" w:hAnsi="Arial" w:cs="Arial"/>
                <w:sz w:val="18"/>
                <w:szCs w:val="18"/>
              </w:rPr>
            </w:pPr>
            <w:r w:rsidRPr="00537B92">
              <w:rPr>
                <w:rFonts w:ascii="Arial" w:hAnsi="Arial" w:cs="Arial"/>
                <w:sz w:val="18"/>
                <w:szCs w:val="18"/>
              </w:rPr>
              <w:t>[PAP-8, BioData, Horsham,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(PGE1 ± ADP, 20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[Platelet VASP Test kit, American Diagnostica, Pfungstadt, Germany]; using flow cytometry [FACSCalibur, Becton Dickinson, Heidelberg, Germany]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Samples were obtained 2-4 h after drug intake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had been on maintenance dose clopidogrel (75 mg/d) for ≥5 d after a loading dose of 300-600 mg (on the first day); patients not on clopidogrel were used as controls (no data extracted)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using 3 assays for assessment of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100 patients on clopidogrel</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VASP assay (cut-off 50%) and LTA (cut-off 50%): concordant positive results, 44%; concordant negative results, 28%; positive by VASP but not LTA, 25%; positive by LTA but not VASP assay, 3%.</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Subgroup analysis by diabetic status: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Diabetic patients (n=30): agreement between VASP assay (cut-off 50%) and LTA (cut-off 50%): concordant positive results, 41%; concordant negative results, 24%; positive by VASP but not LTA, 34%; positive by LTA but not VASP assay, 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Non-diabetic patients (n=70): agreement between VASP assay (cut-off 50%) and LTA (cut-off 50%): concordant positive results, 44%; concordant negative results, 28%; positive by VASP but not LTA, 23%; positive by LTA but not VASP assay, 5%.</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Shenkman</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Israel</w:t>
            </w:r>
          </w:p>
          <w:p w:rsidR="00537B92" w:rsidRPr="00537B92" w:rsidRDefault="00537B92" w:rsidP="00537B92">
            <w:pPr>
              <w:rPr>
                <w:rFonts w:ascii="Arial" w:hAnsi="Arial" w:cs="Arial"/>
                <w:sz w:val="18"/>
                <w:szCs w:val="18"/>
              </w:rPr>
            </w:pPr>
            <w:r w:rsidRPr="00537B92">
              <w:rPr>
                <w:rFonts w:ascii="Arial" w:hAnsi="Arial" w:cs="Arial"/>
                <w:sz w:val="18"/>
                <w:szCs w:val="18"/>
              </w:rPr>
              <w:t>18155752</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Consecutive ACS patients who underwent PCI with stent implantation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5.5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[PACKS-4 aggregometer, Helena Laboratories, Beaumont, TX]</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Impact-R</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1.38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[DiaMed, Cressier, Switzerland]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In one group of patients (n=114) blood samples were obtained before and 4 d after clopidogrel administration. In a second group (n=290) samples were obtained only 4 d after clopidogrel treatment.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All patients received aspirin 300 mg on admission and 200 mg/d thereafter. Eptifibatide was administered before PCI and for at least 12 h after the procedure. Clopidogrel was administered at a loading dose of 300 mg on completion of PCI, followed by a maintenance dose of 75 mg/d.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both assays to determine agreement and analytic sensitivity and specificity. For the later analyses LTA results were treated as a “gold standard”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114 patients contributed measurements before and after clopidogrel administration; 290 patients only contributed measurements after clopidogrel administration. Only results from the second groups of patients were used for ROC and agreement analyses.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Analytic performance using LTA as the reference standard (cut-off 70%)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Optimal cut-off value for Impact_r = 2.8</w:t>
            </w: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71%</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83%</w:t>
            </w:r>
          </w:p>
          <w:p w:rsidR="00537B92" w:rsidRPr="00537B92" w:rsidRDefault="00537B92" w:rsidP="00537B92">
            <w:pPr>
              <w:rPr>
                <w:rFonts w:ascii="Arial" w:hAnsi="Arial" w:cs="Arial"/>
                <w:sz w:val="18"/>
                <w:szCs w:val="18"/>
              </w:rPr>
            </w:pPr>
            <w:r w:rsidRPr="00537B92">
              <w:rPr>
                <w:rFonts w:ascii="Arial" w:hAnsi="Arial" w:cs="Arial"/>
                <w:sz w:val="18"/>
                <w:szCs w:val="18"/>
              </w:rPr>
              <w:t>Analytic positive predictive value = 72%</w:t>
            </w:r>
          </w:p>
          <w:p w:rsidR="00537B92" w:rsidRPr="00537B92" w:rsidRDefault="00537B92" w:rsidP="00537B92">
            <w:pPr>
              <w:rPr>
                <w:rFonts w:ascii="Arial" w:hAnsi="Arial" w:cs="Arial"/>
                <w:sz w:val="18"/>
                <w:szCs w:val="18"/>
              </w:rPr>
            </w:pPr>
            <w:r w:rsidRPr="00537B92">
              <w:rPr>
                <w:rFonts w:ascii="Arial" w:hAnsi="Arial" w:cs="Arial"/>
                <w:sz w:val="18"/>
                <w:szCs w:val="18"/>
              </w:rPr>
              <w:t>Analytic negative predictive = 83%</w:t>
            </w:r>
          </w:p>
          <w:p w:rsidR="00537B92" w:rsidRPr="00537B92" w:rsidRDefault="00537B92" w:rsidP="00537B92">
            <w:pPr>
              <w:pBdr>
                <w:bottom w:val="single" w:sz="6" w:space="1" w:color="auto"/>
              </w:pBdr>
              <w:rPr>
                <w:rFonts w:ascii="Arial" w:hAnsi="Arial" w:cs="Arial"/>
                <w:sz w:val="18"/>
                <w:szCs w:val="18"/>
              </w:rPr>
            </w:pPr>
            <w:r w:rsidRPr="00537B92">
              <w:rPr>
                <w:rFonts w:ascii="Arial" w:hAnsi="Arial" w:cs="Arial"/>
                <w:sz w:val="18"/>
                <w:szCs w:val="18"/>
              </w:rPr>
              <w:t>AUC = 0.867</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Impact-R for non-response using the cut-offs identified through ROC analysis: concordant positive results, 78; concordant negative results, 151; non-responders by LTS but responders by Impact-R, 32; non-responders by Impact-R but responders by LTA, 29.</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Lordkipanidze</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18520610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with CAD requiring eletive diagnostic coronary angiography with or without PCI from a single center. Patients were participants in a prospective, randomized, double-blind, placebo controlled trial</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Comparisons were performed between a before-after assessment of the clopidogrel effect (based on two measurements using VerifyNow, pre- and post-clopidogrel administration) and a single on-clopidogrel measurement with VerifyNow where the TRAP channel of the assay is used to “approximate” the pre-clopidogrel reactivity level.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Blood was drawn “before clopidogrel initiation” (pre-clopidogrel measurement) and “just before” elective angiography</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Patients were allocated randomly to 4 groups: 300 or 600 mg on the day before angiography, or 300 mg loading followed by 75 or 150 mg maintenance daily dose, started 1 w before angiography. All patients received aspirin (80 mg). Patients receiving IIb/IIIa inhibitors were excluded.</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Two measurements with VerifyNow (before and after clopidogrel) to compare the before-after contrast versus as “estimated” contrast using the post-clopidogrel measurement and the TRAP channel of the same device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68 patients contributing data for both timepoints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Bland-Altman analysis: bias = 8%; limits of agreement from -49% to 65%</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Lordkipanidze</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19840560</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stable CAD treated with aspirin and clopidogrel selected from the outpatient cardiology clinic of a single center</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10, and 20 </w:t>
            </w:r>
            <w:r w:rsidRPr="00537B92">
              <w:rPr>
                <w:rFonts w:ascii="Arial" w:hAnsi="Arial" w:cs="Arial"/>
                <w:sz w:val="18"/>
                <w:szCs w:val="18"/>
                <w:lang w:val="el-GR"/>
              </w:rPr>
              <w:t>μΜ</w:t>
            </w:r>
            <w:r w:rsidRPr="00537B92">
              <w:rPr>
                <w:rFonts w:ascii="Arial" w:hAnsi="Arial" w:cs="Arial"/>
                <w:sz w:val="18"/>
                <w:szCs w:val="18"/>
              </w:rPr>
              <w:t xml:space="preserve">) </w:t>
            </w:r>
          </w:p>
          <w:p w:rsidR="00537B92" w:rsidRPr="00537B92" w:rsidRDefault="00537B92" w:rsidP="00537B92">
            <w:pPr>
              <w:rPr>
                <w:rFonts w:ascii="Arial" w:hAnsi="Arial" w:cs="Arial"/>
                <w:sz w:val="18"/>
                <w:szCs w:val="18"/>
              </w:rPr>
            </w:pPr>
            <w:r w:rsidRPr="00537B92">
              <w:rPr>
                <w:rFonts w:ascii="Arial" w:hAnsi="Arial" w:cs="Arial"/>
                <w:sz w:val="18"/>
                <w:szCs w:val="18"/>
              </w:rPr>
              <w:t>[Chrono-Log aggregometer 540 model, Chrono-Log,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2-12 h after the last aspirin and clopidogrel dose.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All patients were on aspirin (≥80 mg/d) and clopidogrel (≥75 mg/d) for ≥ 3 mo.</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Measurements were obtained with both assays (and using different concentrationsof ADP for LTA) to compare agreement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85 patients contributed measurements with LTA, using ADP 5 and 20 </w:t>
            </w:r>
            <w:r w:rsidRPr="00537B92">
              <w:rPr>
                <w:rFonts w:ascii="Arial" w:hAnsi="Arial" w:cs="Arial"/>
                <w:sz w:val="18"/>
                <w:szCs w:val="18"/>
                <w:lang w:val="el-GR"/>
              </w:rPr>
              <w:t>μ</w:t>
            </w:r>
            <w:r w:rsidRPr="00537B92">
              <w:rPr>
                <w:rFonts w:ascii="Arial" w:hAnsi="Arial" w:cs="Arial"/>
                <w:sz w:val="18"/>
                <w:szCs w:val="18"/>
              </w:rPr>
              <w:t xml:space="preserve">M concentrations, and VerifyNow; 77 patients were also assessed with LTA using an ADP concentration of 10 </w:t>
            </w:r>
            <w:r w:rsidRPr="00537B92">
              <w:rPr>
                <w:rFonts w:ascii="Arial" w:hAnsi="Arial" w:cs="Arial"/>
                <w:sz w:val="18"/>
                <w:szCs w:val="18"/>
                <w:lang w:val="el-GR"/>
              </w:rPr>
              <w:t>μ</w:t>
            </w:r>
            <w:r w:rsidRPr="00537B92">
              <w:rPr>
                <w:rFonts w:ascii="Arial" w:hAnsi="Arial" w:cs="Arial"/>
                <w:sz w:val="18"/>
                <w:szCs w:val="18"/>
              </w:rPr>
              <w:t>M</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and LTA ADP 5 </w:t>
            </w:r>
            <w:r w:rsidRPr="00537B92">
              <w:rPr>
                <w:rFonts w:ascii="Arial" w:hAnsi="Arial" w:cs="Arial"/>
                <w:sz w:val="18"/>
                <w:szCs w:val="18"/>
                <w:lang w:val="el-GR"/>
              </w:rPr>
              <w:t>μΜ</w:t>
            </w:r>
            <w:r w:rsidRPr="00537B92">
              <w:rPr>
                <w:rFonts w:ascii="Arial" w:hAnsi="Arial" w:cs="Arial"/>
                <w:sz w:val="18"/>
                <w:szCs w:val="18"/>
              </w:rPr>
              <w:t>: kappa = 0.487; P&lt;0.0001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and LTA ADP 10 </w:t>
            </w:r>
            <w:r w:rsidRPr="00537B92">
              <w:rPr>
                <w:rFonts w:ascii="Arial" w:hAnsi="Arial" w:cs="Arial"/>
                <w:sz w:val="18"/>
                <w:szCs w:val="18"/>
                <w:lang w:val="el-GR"/>
              </w:rPr>
              <w:t>μΜ</w:t>
            </w:r>
            <w:r w:rsidRPr="00537B92">
              <w:rPr>
                <w:rFonts w:ascii="Arial" w:hAnsi="Arial" w:cs="Arial"/>
                <w:sz w:val="18"/>
                <w:szCs w:val="18"/>
              </w:rPr>
              <w:t>: kappa = 0.309; P=0.004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VerifyNow and LTA ADP 20 </w:t>
            </w:r>
            <w:r w:rsidRPr="00537B92">
              <w:rPr>
                <w:rFonts w:ascii="Arial" w:hAnsi="Arial" w:cs="Arial"/>
                <w:sz w:val="18"/>
                <w:szCs w:val="18"/>
                <w:lang w:val="el-GR"/>
              </w:rPr>
              <w:t>μΜ</w:t>
            </w:r>
            <w:r w:rsidRPr="00537B92">
              <w:rPr>
                <w:rFonts w:ascii="Arial" w:hAnsi="Arial" w:cs="Arial"/>
                <w:sz w:val="18"/>
                <w:szCs w:val="18"/>
              </w:rPr>
              <w:t>: kappa = 0.661; P&lt;0.0001</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Lordkipanidze</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19419755</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presenting at a single center outpatient cardiology department with symptomatic CAD requiring diagnostic coronary angiography. Patients were participants in a prospective, randomized, double-blind, placebo controlled trial.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LTA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μΜ</w:t>
            </w:r>
            <w:r w:rsidRPr="00537B92">
              <w:rPr>
                <w:rFonts w:ascii="Arial" w:hAnsi="Arial" w:cs="Arial"/>
                <w:sz w:val="18"/>
                <w:szCs w:val="18"/>
              </w:rPr>
              <w:t xml:space="preserve">) </w:t>
            </w:r>
          </w:p>
          <w:p w:rsidR="00537B92" w:rsidRPr="00537B92" w:rsidRDefault="00537B92" w:rsidP="00537B92">
            <w:pPr>
              <w:rPr>
                <w:rFonts w:ascii="Arial" w:hAnsi="Arial" w:cs="Arial"/>
                <w:sz w:val="18"/>
                <w:szCs w:val="18"/>
              </w:rPr>
            </w:pPr>
            <w:r w:rsidRPr="00537B92">
              <w:rPr>
                <w:rFonts w:ascii="Arial" w:hAnsi="Arial" w:cs="Arial"/>
                <w:sz w:val="18"/>
                <w:szCs w:val="18"/>
              </w:rPr>
              <w:t>[ChronoLog aggregometer 540 model, Havertown, PA]</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before clopidogrel initiation and “just before” elective angiography.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were allocated randomly to 4 groups: 300 or 600 mg on the day before angiography, or 300 mg loading followed by 75 or 150 mg maintenance daily dose, started 1 w before angiography. All patients received aspirin (80 mg). Patients receiving IIb/IIIa inhibitors were excluded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obtained with both ADP concentrations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120 patients contributed measurements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aggregation using LTA ADP 5 </w:t>
            </w:r>
            <w:r w:rsidRPr="00537B92">
              <w:rPr>
                <w:rFonts w:ascii="Arial" w:hAnsi="Arial" w:cs="Arial"/>
                <w:sz w:val="18"/>
                <w:szCs w:val="18"/>
                <w:lang w:val="el-GR"/>
              </w:rPr>
              <w:t>μ</w:t>
            </w:r>
            <w:r w:rsidRPr="00537B92">
              <w:rPr>
                <w:rFonts w:ascii="Arial" w:hAnsi="Arial" w:cs="Arial"/>
                <w:sz w:val="18"/>
                <w:szCs w:val="18"/>
              </w:rPr>
              <w:t>M: bias = 10.8%; limits of agreement from -5.8% to 27.3%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aggregation using LTA ADP 20 </w:t>
            </w:r>
            <w:r w:rsidRPr="00537B92">
              <w:rPr>
                <w:rFonts w:ascii="Arial" w:hAnsi="Arial" w:cs="Arial"/>
                <w:sz w:val="18"/>
                <w:szCs w:val="18"/>
                <w:lang w:val="el-GR"/>
              </w:rPr>
              <w:t>μ</w:t>
            </w:r>
            <w:r w:rsidRPr="00537B92">
              <w:rPr>
                <w:rFonts w:ascii="Arial" w:hAnsi="Arial" w:cs="Arial"/>
                <w:sz w:val="18"/>
                <w:szCs w:val="18"/>
              </w:rPr>
              <w:t>M: bias = 10.3%; limits of agreement from -8.5% to 29.2%</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Analyses of inhibition of platelet reactivity (i.e., change from baseline)</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absolute inhibition using LTA ADP 5 </w:t>
            </w:r>
            <w:r w:rsidRPr="00537B92">
              <w:rPr>
                <w:rFonts w:ascii="Arial" w:hAnsi="Arial" w:cs="Arial"/>
                <w:sz w:val="18"/>
                <w:szCs w:val="18"/>
                <w:lang w:val="el-GR"/>
              </w:rPr>
              <w:t>μ</w:t>
            </w:r>
            <w:r w:rsidRPr="00537B92">
              <w:rPr>
                <w:rFonts w:ascii="Arial" w:hAnsi="Arial" w:cs="Arial"/>
                <w:sz w:val="18"/>
                <w:szCs w:val="18"/>
              </w:rPr>
              <w:t>M: bias = 3.4%; limits of agreement from -18% to 25%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absolute inhibition using LTA ADP 20 </w:t>
            </w:r>
            <w:r w:rsidRPr="00537B92">
              <w:rPr>
                <w:rFonts w:ascii="Arial" w:hAnsi="Arial" w:cs="Arial"/>
                <w:sz w:val="18"/>
                <w:szCs w:val="18"/>
                <w:lang w:val="el-GR"/>
              </w:rPr>
              <w:t>μ</w:t>
            </w:r>
            <w:r w:rsidRPr="00537B92">
              <w:rPr>
                <w:rFonts w:ascii="Arial" w:hAnsi="Arial" w:cs="Arial"/>
                <w:sz w:val="18"/>
                <w:szCs w:val="18"/>
              </w:rPr>
              <w:t>M: bias = 5.9%; limits of agreement from -18% to 30%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relative inhibition using LTA ADP 5 </w:t>
            </w:r>
            <w:r w:rsidRPr="00537B92">
              <w:rPr>
                <w:rFonts w:ascii="Arial" w:hAnsi="Arial" w:cs="Arial"/>
                <w:sz w:val="18"/>
                <w:szCs w:val="18"/>
                <w:lang w:val="el-GR"/>
              </w:rPr>
              <w:t>μ</w:t>
            </w:r>
            <w:r w:rsidRPr="00537B92">
              <w:rPr>
                <w:rFonts w:ascii="Arial" w:hAnsi="Arial" w:cs="Arial"/>
                <w:sz w:val="18"/>
                <w:szCs w:val="18"/>
              </w:rPr>
              <w:t>M: bias = -16.3%; limits of agreement from -59% to 26%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of peak versus late relative inhibition using LTA ADP 20 </w:t>
            </w:r>
            <w:r w:rsidRPr="00537B92">
              <w:rPr>
                <w:rFonts w:ascii="Arial" w:hAnsi="Arial" w:cs="Arial"/>
                <w:sz w:val="18"/>
                <w:szCs w:val="18"/>
                <w:lang w:val="el-GR"/>
              </w:rPr>
              <w:t>μ</w:t>
            </w:r>
            <w:r w:rsidRPr="00537B92">
              <w:rPr>
                <w:rFonts w:ascii="Arial" w:hAnsi="Arial" w:cs="Arial"/>
                <w:sz w:val="18"/>
                <w:szCs w:val="18"/>
              </w:rPr>
              <w:t>M: bias = -12.3%; limits of agreement from -49% to 23%</w:t>
            </w:r>
          </w:p>
        </w:tc>
      </w:tr>
      <w:tr w:rsidR="00537B92" w:rsidRPr="00537B92" w:rsidTr="007B0DD7">
        <w:trPr>
          <w:cantSplit/>
        </w:trPr>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Collet</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France</w:t>
            </w:r>
          </w:p>
          <w:p w:rsidR="00537B92" w:rsidRPr="00537B92" w:rsidRDefault="00537B92" w:rsidP="00537B92">
            <w:pPr>
              <w:rPr>
                <w:rFonts w:ascii="Arial" w:hAnsi="Arial" w:cs="Arial"/>
                <w:sz w:val="18"/>
                <w:szCs w:val="18"/>
              </w:rPr>
            </w:pPr>
            <w:r w:rsidRPr="00537B92">
              <w:rPr>
                <w:rFonts w:ascii="Arial" w:hAnsi="Arial" w:cs="Arial"/>
                <w:sz w:val="18"/>
                <w:szCs w:val="18"/>
              </w:rPr>
              <w:t>18765393</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Adult patients on maintenance clopidogrel for &gt; 7 d scheduled to undergo cardiac catheterization because of unstable CAD or stable angina. Patients were participants in a prospective trial of alternative clopidogrel loading doses.‡ </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10, 20, and 50 </w:t>
            </w:r>
            <w:r w:rsidRPr="00537B92">
              <w:rPr>
                <w:rFonts w:ascii="Arial" w:hAnsi="Arial" w:cs="Arial"/>
                <w:sz w:val="18"/>
                <w:szCs w:val="18"/>
                <w:lang w:val="el-GR"/>
              </w:rPr>
              <w:t>μ</w:t>
            </w:r>
            <w:r w:rsidRPr="00537B92">
              <w:rPr>
                <w:rFonts w:ascii="Arial" w:hAnsi="Arial" w:cs="Arial"/>
                <w:sz w:val="18"/>
                <w:szCs w:val="18"/>
              </w:rPr>
              <w:t xml:space="preserve">mol/L) </w:t>
            </w:r>
          </w:p>
          <w:p w:rsidR="00537B92" w:rsidRPr="00537B92" w:rsidRDefault="00537B92" w:rsidP="00537B92">
            <w:pPr>
              <w:rPr>
                <w:rFonts w:ascii="Arial" w:hAnsi="Arial" w:cs="Arial"/>
                <w:sz w:val="18"/>
                <w:szCs w:val="18"/>
              </w:rPr>
            </w:pPr>
            <w:r w:rsidRPr="00537B92">
              <w:rPr>
                <w:rFonts w:ascii="Arial" w:hAnsi="Arial" w:cs="Arial"/>
                <w:sz w:val="18"/>
                <w:szCs w:val="18"/>
              </w:rPr>
              <w:t>[Chronolog Aggregometer model 490-4D, Chrono-Log Corp., Kordia, Netherlands]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before the first and second loading doses and 24 h after the first loading dose (see adjacent cell for details). Agreement was assessed using the baseline measurements only (i.e., reflective of patients’ reactivity on maintenance clopidogrel)</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All patients were on clopidogrel maintenance (75 mg/d) for &gt; 7 d. They were alternately allocated to clopidogrel loading doses of 300, 600, or 900 mg (first loading dose). Depending on the initial assignment, patients then received a second loading dose, such that the total clopidogrel amount received would be 900 mg. Thereafter, all patients received maintenance clopidogrel (75 mg/d) and aspirin (≤100 mg/d). Only baseline measurements were used for the assessment of agreement.</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Agreement regarding baseline on-clopidogrel non-responsiveness between assays</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166 patients measured at baseline</w:t>
            </w:r>
          </w:p>
        </w:tc>
        <w:tc>
          <w:tcPr>
            <w:tcW w:w="0" w:type="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for poor response between LTA (cut-off 50% for residual platelet reactivity) and VerifyNow (cut-off 15%): kappa = 0.20; 95% CI 0.06, 0.40 </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Von Beckerath</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Germany</w:t>
            </w:r>
          </w:p>
          <w:p w:rsidR="00537B92" w:rsidRPr="00537B92" w:rsidRDefault="00537B92" w:rsidP="00537B92">
            <w:pPr>
              <w:rPr>
                <w:rFonts w:ascii="Arial" w:hAnsi="Arial" w:cs="Arial"/>
                <w:sz w:val="18"/>
                <w:szCs w:val="18"/>
              </w:rPr>
            </w:pPr>
            <w:r w:rsidRPr="00537B92">
              <w:rPr>
                <w:rFonts w:ascii="Arial" w:hAnsi="Arial" w:cs="Arial"/>
                <w:sz w:val="18"/>
                <w:szCs w:val="18"/>
              </w:rPr>
              <w:t>19823079</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without clopidogrel treatment within the last 4 week, scheduled for coronary angiography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w:t>
            </w:r>
            <w:r w:rsidRPr="00537B92">
              <w:rPr>
                <w:rFonts w:ascii="Arial" w:hAnsi="Arial" w:cs="Arial"/>
                <w:sz w:val="18"/>
                <w:szCs w:val="18"/>
                <w:lang w:val="el-GR"/>
              </w:rPr>
              <w:t>μ</w:t>
            </w:r>
            <w:r w:rsidRPr="00537B92">
              <w:rPr>
                <w:rFonts w:ascii="Arial" w:hAnsi="Arial" w:cs="Arial"/>
                <w:sz w:val="18"/>
                <w:szCs w:val="18"/>
              </w:rPr>
              <w:t xml:space="preserve">mol/L) </w:t>
            </w:r>
          </w:p>
          <w:p w:rsidR="00537B92" w:rsidRPr="00537B92" w:rsidRDefault="00537B92" w:rsidP="00537B92">
            <w:pPr>
              <w:rPr>
                <w:rFonts w:ascii="Arial" w:hAnsi="Arial" w:cs="Arial"/>
                <w:sz w:val="18"/>
                <w:szCs w:val="18"/>
              </w:rPr>
            </w:pPr>
            <w:r w:rsidRPr="00537B92">
              <w:rPr>
                <w:rFonts w:ascii="Arial" w:hAnsi="Arial" w:cs="Arial"/>
                <w:sz w:val="18"/>
                <w:szCs w:val="18"/>
              </w:rPr>
              <w:t>[PAP 8 aggregometer, Molab, Berlin,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6.4 </w:t>
            </w:r>
            <w:r w:rsidRPr="00537B92">
              <w:rPr>
                <w:rFonts w:ascii="Arial" w:hAnsi="Arial" w:cs="Arial"/>
                <w:sz w:val="18"/>
                <w:szCs w:val="18"/>
                <w:lang w:val="el-GR"/>
              </w:rPr>
              <w:t>μ</w:t>
            </w:r>
            <w:r w:rsidRPr="00537B92">
              <w:rPr>
                <w:rFonts w:ascii="Arial" w:hAnsi="Arial" w:cs="Arial"/>
                <w:sz w:val="18"/>
                <w:szCs w:val="18"/>
              </w:rPr>
              <w:t xml:space="preserve">mol/L ± PGE1 9.4 </w:t>
            </w:r>
            <w:r w:rsidRPr="00537B92">
              <w:rPr>
                <w:rFonts w:ascii="Arial" w:hAnsi="Arial" w:cs="Arial"/>
                <w:sz w:val="18"/>
                <w:szCs w:val="18"/>
                <w:lang w:val="el-GR"/>
              </w:rPr>
              <w:t>μ</w:t>
            </w:r>
            <w:r w:rsidRPr="00537B92">
              <w:rPr>
                <w:rFonts w:ascii="Arial" w:hAnsi="Arial" w:cs="Arial"/>
                <w:sz w:val="18"/>
                <w:szCs w:val="18"/>
              </w:rPr>
              <w:t>mol/L)</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(PGE1 ± ADP, 20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[Platelet VASP, Biocytex, Marseille, France]; using flow cytometry [no additional details provided]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before the administration of clopidogrel and immediately after stent placement (post-clopidogrel loading)</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All patients received a single clopidogrel loading dose (600 mg), which was recommended to be given ≥ 2 h before catheterization. Patients treated with IIb/IIIa inhibitors within 28 d were excluded.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Assessment of samples with all 3 assessment and assessment of agreement for identifying “lack of response”. Lack of response was defined as values in the top quintile of measurements obtained from each assay.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Samples from 60 patients measured with 4 assays (2 different agonist types were used for the Multiplate analyzer)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12 patients were in the upper quintile of the Multiplate analyzer using ADP as the agonist; of those 7 were in the upper quintile of VerifyNow (P&lt;0.001), 6 in the upper quintile if Multiplate analyzer using ADP+ PGE1 as the agonist (P=0.004), and 3 were in the upper quintile of VASP PRI (P=0.63). P-values were from a “chi-square test”; it was unclear whether the paired nature of the measurements was accounted for in the analysis.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The authors stated that “comparisons of categorical classifications (upper quintiles) yielded a poor agreement of post-clopidogrel values” [no additional statistics were reported]</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Varenhorst</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Sweden</w:t>
            </w:r>
          </w:p>
          <w:p w:rsidR="00537B92" w:rsidRPr="00537B92" w:rsidRDefault="00537B92" w:rsidP="00537B92">
            <w:pPr>
              <w:rPr>
                <w:rFonts w:ascii="Arial" w:hAnsi="Arial" w:cs="Arial"/>
                <w:sz w:val="18"/>
                <w:szCs w:val="18"/>
              </w:rPr>
            </w:pPr>
            <w:r w:rsidRPr="00537B92">
              <w:rPr>
                <w:rFonts w:ascii="Arial" w:hAnsi="Arial" w:cs="Arial"/>
                <w:sz w:val="18"/>
                <w:szCs w:val="18"/>
              </w:rPr>
              <w:t>19249429</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Patients with stable CAD </w:t>
            </w:r>
            <w:r w:rsidRPr="00537B92">
              <w:rPr>
                <w:rFonts w:ascii="Arial" w:hAnsi="Arial" w:cs="Arial"/>
                <w:sz w:val="18"/>
                <w:szCs w:val="18"/>
              </w:rPr>
              <w:lastRenderedPageBreak/>
              <w:t>participating in a parallel-group randomized trial of prasugrel versus clopidogrel, both in combination with aspirin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concentrations NR)</w:t>
            </w:r>
          </w:p>
          <w:p w:rsidR="00537B92" w:rsidRPr="00537B92" w:rsidRDefault="00537B92" w:rsidP="00537B92">
            <w:pPr>
              <w:rPr>
                <w:rFonts w:ascii="Arial" w:hAnsi="Arial" w:cs="Arial"/>
                <w:sz w:val="18"/>
                <w:szCs w:val="18"/>
              </w:rPr>
            </w:pPr>
            <w:r w:rsidRPr="00537B92">
              <w:rPr>
                <w:rFonts w:ascii="Arial" w:hAnsi="Arial" w:cs="Arial"/>
                <w:sz w:val="18"/>
                <w:szCs w:val="18"/>
              </w:rPr>
              <w:t>[Platelet VASP kit, BioCytex, Marseille, France]; using flow cytometry [samples were analyzed on different flow-cytometers in 2 participating centers: Epics XL, Beckman Coulter, Fullurton, CA; and FACScan, Becton Dickinson, Franklin Lakes, NJ]. The authors reported that “synchronization between the flow cytometers was performed”.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Samples were obtained before </w:t>
            </w:r>
            <w:r w:rsidRPr="00537B92">
              <w:rPr>
                <w:rFonts w:ascii="Arial" w:hAnsi="Arial" w:cs="Arial"/>
                <w:sz w:val="18"/>
                <w:szCs w:val="18"/>
              </w:rPr>
              <w:lastRenderedPageBreak/>
              <w:t>the loading dose, 2h and 24h post-loading, and the 14th and 29th day of clopidogrel maintenance treatment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Patients received aspirin 75mg/d for </w:t>
            </w:r>
            <w:r w:rsidRPr="00537B92">
              <w:rPr>
                <w:rFonts w:ascii="Arial" w:hAnsi="Arial" w:cs="Arial"/>
                <w:sz w:val="18"/>
                <w:szCs w:val="18"/>
              </w:rPr>
              <w:lastRenderedPageBreak/>
              <w:t>5-21 d before randomization and were then assigned to clopidogrel (600 mg loading, 75 mg maintenance dose) or prasugrel (60 mg loading; 10 mg maintenance) groups, while continuing the same aspirin regimen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Two measurements with VerifyNow </w:t>
            </w:r>
            <w:r w:rsidRPr="00537B92">
              <w:rPr>
                <w:rFonts w:ascii="Arial" w:hAnsi="Arial" w:cs="Arial"/>
                <w:sz w:val="18"/>
                <w:szCs w:val="18"/>
              </w:rPr>
              <w:lastRenderedPageBreak/>
              <w:t>(before and after antiplatelet treatment) to compare the before-after contrast versus an “estimated” contrast using the post-clopidogrel measurement and the TRAP channel of the same device</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110 patients (1:1 randomized to </w:t>
            </w:r>
            <w:r w:rsidRPr="00537B92">
              <w:rPr>
                <w:rFonts w:ascii="Arial" w:hAnsi="Arial" w:cs="Arial"/>
                <w:sz w:val="18"/>
                <w:szCs w:val="18"/>
              </w:rPr>
              <w:lastRenderedPageBreak/>
              <w:t xml:space="preserve">clopidogrel or prasugrel) measured at 5 timepoints (not clear if all measurements were available for all patients and timepoints)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Lin’s concordance correlation coefficient </w:t>
            </w:r>
            <w:r w:rsidRPr="00537B92">
              <w:rPr>
                <w:rFonts w:ascii="Arial" w:hAnsi="Arial" w:cs="Arial"/>
                <w:sz w:val="18"/>
                <w:szCs w:val="18"/>
              </w:rPr>
              <w:lastRenderedPageBreak/>
              <w:t>between observed and estimated % inhibition = 0.97; P&lt;0.0001 (the authors indicated that there is “modest underestimation by the device-reported %inhibition”)</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for high platelet inhibition (quartile 1 vs. quartiles 2-4 for each assay), 95% 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PRI and PRU, during loading phase = 0.35 (0.20, 0.49)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PRI and PRU, during maintenance phase = 0.55 (0.42, 0.68)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late reactivity by LTA and PRU, during loading phase = 0.54 (0.41, 0.67)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late reactivity by LTA and PRU, during </w:t>
            </w:r>
            <w:r w:rsidRPr="00537B92">
              <w:rPr>
                <w:rFonts w:ascii="Arial" w:hAnsi="Arial" w:cs="Arial"/>
                <w:sz w:val="18"/>
                <w:szCs w:val="18"/>
              </w:rPr>
              <w:lastRenderedPageBreak/>
              <w:t>maintenance phase = 0.52 (0.39, 0.66)</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for low platelet inhibition (quartile 4 vs. quartiles 1-3 for each assay), 95% 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PRI and PRU, during loading phase = 0.79 (0.69, 0.89)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PRI and PRU, during maintenance phase = 0.66 (0.54, 0.78)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late reactivity by LTA and PRU, during loading phase = 0.75 (0.64, 0.85)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late reactivity by LTA and PRU, during maintenance phase = 0.66 (0.54, 0.77)</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Lordkipanidze</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18826988</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with suspected CAD requiring elective diagnostic coronary </w:t>
            </w:r>
            <w:r w:rsidRPr="00537B92">
              <w:rPr>
                <w:rFonts w:ascii="Arial" w:hAnsi="Arial" w:cs="Arial"/>
                <w:sz w:val="18"/>
                <w:szCs w:val="18"/>
              </w:rPr>
              <w:lastRenderedPageBreak/>
              <w:t>angiography, recruited from the pre-angiography outpatient clinic of a single center. The current study was a pre-specified analysis nested within a prospective randomized trial of alternative clopidogrel dosing regimens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[ChronoLog 540 model,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[ChronoLog 560 model,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Blood was drawn at two time points: before clopidogrel initiation and “just </w:t>
            </w:r>
            <w:r w:rsidRPr="00537B92">
              <w:rPr>
                <w:rFonts w:ascii="Arial" w:hAnsi="Arial" w:cs="Arial"/>
                <w:sz w:val="18"/>
                <w:szCs w:val="18"/>
              </w:rPr>
              <w:lastRenderedPageBreak/>
              <w:t>before” coronary angiography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Patients were allocated randomly to 4 groups: 300 or 600 mg on the day before </w:t>
            </w:r>
            <w:r w:rsidRPr="00537B92">
              <w:rPr>
                <w:rFonts w:ascii="Arial" w:hAnsi="Arial" w:cs="Arial"/>
                <w:sz w:val="18"/>
                <w:szCs w:val="18"/>
              </w:rPr>
              <w:lastRenderedPageBreak/>
              <w:t>angiography, or 300 mg loading followed by 75 or 150 mg maintenance daily dose, started 1 w before angiography. All patients received aspirin (80 mg). Patients receiving IIb/IIIa inhibitors were excluded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Measurement of samples with all assays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116 patients contributed samples to the analyses; only 72 patients had </w:t>
            </w:r>
            <w:r w:rsidRPr="00537B92">
              <w:rPr>
                <w:rFonts w:ascii="Arial" w:hAnsi="Arial" w:cs="Arial"/>
                <w:sz w:val="18"/>
                <w:szCs w:val="18"/>
              </w:rPr>
              <w:lastRenderedPageBreak/>
              <w:t>measurements with VerifyNow</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Data were extracted only for on-clopidogrel measurements.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w:t>
            </w:r>
            <w:r w:rsidRPr="00537B92">
              <w:rPr>
                <w:rFonts w:ascii="Arial" w:hAnsi="Arial" w:cs="Arial"/>
                <w:sz w:val="18"/>
                <w:szCs w:val="18"/>
              </w:rPr>
              <w:lastRenderedPageBreak/>
              <w:t>analyses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20 </w:t>
            </w:r>
            <w:r w:rsidRPr="00537B92">
              <w:rPr>
                <w:rFonts w:ascii="Arial" w:hAnsi="Arial" w:cs="Arial"/>
                <w:sz w:val="18"/>
                <w:szCs w:val="18"/>
                <w:lang w:val="el-GR"/>
              </w:rPr>
              <w:t>μ</w:t>
            </w:r>
            <w:r w:rsidRPr="00537B92">
              <w:rPr>
                <w:rFonts w:ascii="Arial" w:hAnsi="Arial" w:cs="Arial"/>
                <w:sz w:val="18"/>
                <w:szCs w:val="18"/>
              </w:rPr>
              <w:t>M: bias = 4.5% (95% CI, 1.3%, 7.7%); P=0.006 by paired t-test; limits of agreement: -26% to 38%.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impedance aggregometry ADP 5 </w:t>
            </w:r>
            <w:r w:rsidRPr="00537B92">
              <w:rPr>
                <w:rFonts w:ascii="Arial" w:hAnsi="Arial" w:cs="Arial"/>
                <w:sz w:val="18"/>
                <w:szCs w:val="18"/>
                <w:lang w:val="el-GR"/>
              </w:rPr>
              <w:t>μ</w:t>
            </w:r>
            <w:r w:rsidRPr="00537B92">
              <w:rPr>
                <w:rFonts w:ascii="Arial" w:hAnsi="Arial" w:cs="Arial"/>
                <w:sz w:val="18"/>
                <w:szCs w:val="18"/>
              </w:rPr>
              <w:t>M: bias = 13% (95% CI, 2.6%, 24.0%; overestimation by impedance aggregometry); P=0.01 by paired t-test; limits of agreement: -97% to 124%.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impedance aggregometry ADP 20 </w:t>
            </w:r>
            <w:r w:rsidRPr="00537B92">
              <w:rPr>
                <w:rFonts w:ascii="Arial" w:hAnsi="Arial" w:cs="Arial"/>
                <w:sz w:val="18"/>
                <w:szCs w:val="18"/>
                <w:lang w:val="el-GR"/>
              </w:rPr>
              <w:t>μ</w:t>
            </w:r>
            <w:r w:rsidRPr="00537B92">
              <w:rPr>
                <w:rFonts w:ascii="Arial" w:hAnsi="Arial" w:cs="Arial"/>
                <w:sz w:val="18"/>
                <w:szCs w:val="18"/>
              </w:rPr>
              <w:t>M: bias = -11% (95% CI, -20.7%, -1.8%; underestimation by impedance aggregometry); P=0.02 by paired t-</w:t>
            </w:r>
            <w:r w:rsidRPr="00537B92">
              <w:rPr>
                <w:rFonts w:ascii="Arial" w:hAnsi="Arial" w:cs="Arial"/>
                <w:sz w:val="18"/>
                <w:szCs w:val="18"/>
              </w:rPr>
              <w:lastRenderedPageBreak/>
              <w:t>test; limits of agreement: -110% to 87%.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M and VerifyNow: bias = 6.3% (95% CI, -1.6%, 14.2%; non-significant overestimation by VerifyNow); P=0.117 by paired t-test; limits of agreement: -54.4% to 67.0%.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using a cut-off of 50%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LTA ADP 20 </w:t>
            </w:r>
            <w:r w:rsidRPr="00537B92">
              <w:rPr>
                <w:rFonts w:ascii="Arial" w:hAnsi="Arial" w:cs="Arial"/>
                <w:sz w:val="18"/>
                <w:szCs w:val="18"/>
                <w:lang w:val="el-GR"/>
              </w:rPr>
              <w:t>μ</w:t>
            </w:r>
            <w:r w:rsidRPr="00537B92">
              <w:rPr>
                <w:rFonts w:ascii="Arial" w:hAnsi="Arial" w:cs="Arial"/>
                <w:sz w:val="18"/>
                <w:szCs w:val="18"/>
              </w:rPr>
              <w:t>M: kappa = 0.679; P&lt;0.05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impedance aggregometry ADP 5 </w:t>
            </w:r>
            <w:r w:rsidRPr="00537B92">
              <w:rPr>
                <w:rFonts w:ascii="Arial" w:hAnsi="Arial" w:cs="Arial"/>
                <w:sz w:val="18"/>
                <w:szCs w:val="18"/>
                <w:lang w:val="el-GR"/>
              </w:rPr>
              <w:t>μ</w:t>
            </w:r>
            <w:r w:rsidRPr="00537B92">
              <w:rPr>
                <w:rFonts w:ascii="Arial" w:hAnsi="Arial" w:cs="Arial"/>
                <w:sz w:val="18"/>
                <w:szCs w:val="18"/>
              </w:rPr>
              <w:t>M: kappa = -0.117;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impedance aggregometry ADP 20 </w:t>
            </w:r>
            <w:r w:rsidRPr="00537B92">
              <w:rPr>
                <w:rFonts w:ascii="Arial" w:hAnsi="Arial" w:cs="Arial"/>
                <w:sz w:val="18"/>
                <w:szCs w:val="18"/>
                <w:lang w:val="el-GR"/>
              </w:rPr>
              <w:t>μ</w:t>
            </w:r>
            <w:r w:rsidRPr="00537B92">
              <w:rPr>
                <w:rFonts w:ascii="Arial" w:hAnsi="Arial" w:cs="Arial"/>
                <w:sz w:val="18"/>
                <w:szCs w:val="18"/>
              </w:rPr>
              <w:t xml:space="preserve">M: kappa = </w:t>
            </w:r>
            <w:r w:rsidRPr="00537B92">
              <w:rPr>
                <w:rFonts w:ascii="Arial" w:hAnsi="Arial" w:cs="Arial"/>
                <w:sz w:val="18"/>
                <w:szCs w:val="18"/>
              </w:rPr>
              <w:lastRenderedPageBreak/>
              <w:t>0.057;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M and VerifyNow: kappa = 0.295; P&lt;0.05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impedance aggregometry ADP 5 </w:t>
            </w:r>
            <w:r w:rsidRPr="00537B92">
              <w:rPr>
                <w:rFonts w:ascii="Arial" w:hAnsi="Arial" w:cs="Arial"/>
                <w:sz w:val="18"/>
                <w:szCs w:val="18"/>
                <w:lang w:val="el-GR"/>
              </w:rPr>
              <w:t>μ</w:t>
            </w:r>
            <w:r w:rsidRPr="00537B92">
              <w:rPr>
                <w:rFonts w:ascii="Arial" w:hAnsi="Arial" w:cs="Arial"/>
                <w:sz w:val="18"/>
                <w:szCs w:val="18"/>
              </w:rPr>
              <w:t>M: kappa = -0.187; P&lt;0.05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impedance aggregometry ADP 20 </w:t>
            </w:r>
            <w:r w:rsidRPr="00537B92">
              <w:rPr>
                <w:rFonts w:ascii="Arial" w:hAnsi="Arial" w:cs="Arial"/>
                <w:sz w:val="18"/>
                <w:szCs w:val="18"/>
                <w:lang w:val="el-GR"/>
              </w:rPr>
              <w:t>μ</w:t>
            </w:r>
            <w:r w:rsidRPr="00537B92">
              <w:rPr>
                <w:rFonts w:ascii="Arial" w:hAnsi="Arial" w:cs="Arial"/>
                <w:sz w:val="18"/>
                <w:szCs w:val="18"/>
              </w:rPr>
              <w:t>M: kappa = 0.101;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M and VerifyNow: kappa = 0.364; P&lt;0.05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impedance aggregometry ADP 5</w:t>
            </w:r>
            <w:r w:rsidRPr="00537B92">
              <w:rPr>
                <w:rFonts w:ascii="Arial" w:hAnsi="Arial" w:cs="Arial"/>
                <w:sz w:val="18"/>
                <w:szCs w:val="18"/>
                <w:lang w:val="el-GR"/>
              </w:rPr>
              <w:t>μ</w:t>
            </w:r>
            <w:r w:rsidRPr="00537B92">
              <w:rPr>
                <w:rFonts w:ascii="Arial" w:hAnsi="Arial" w:cs="Arial"/>
                <w:sz w:val="18"/>
                <w:szCs w:val="18"/>
              </w:rPr>
              <w:t xml:space="preserve">M and impedance aggregometry ADP 20 </w:t>
            </w:r>
            <w:r w:rsidRPr="00537B92">
              <w:rPr>
                <w:rFonts w:ascii="Arial" w:hAnsi="Arial" w:cs="Arial"/>
                <w:sz w:val="18"/>
                <w:szCs w:val="18"/>
                <w:lang w:val="el-GR"/>
              </w:rPr>
              <w:t>μ</w:t>
            </w:r>
            <w:r w:rsidRPr="00537B92">
              <w:rPr>
                <w:rFonts w:ascii="Arial" w:hAnsi="Arial" w:cs="Arial"/>
                <w:sz w:val="18"/>
                <w:szCs w:val="18"/>
              </w:rPr>
              <w:t>M: kappa = 0.308; P&lt;0.05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impedance </w:t>
            </w:r>
            <w:r w:rsidRPr="00537B92">
              <w:rPr>
                <w:rFonts w:ascii="Arial" w:hAnsi="Arial" w:cs="Arial"/>
                <w:sz w:val="18"/>
                <w:szCs w:val="18"/>
              </w:rPr>
              <w:lastRenderedPageBreak/>
              <w:t>aggregometry ADP 5</w:t>
            </w:r>
            <w:r w:rsidRPr="00537B92">
              <w:rPr>
                <w:rFonts w:ascii="Arial" w:hAnsi="Arial" w:cs="Arial"/>
                <w:sz w:val="18"/>
                <w:szCs w:val="18"/>
                <w:lang w:val="el-GR"/>
              </w:rPr>
              <w:t>μ</w:t>
            </w:r>
            <w:r w:rsidRPr="00537B92">
              <w:rPr>
                <w:rFonts w:ascii="Arial" w:hAnsi="Arial" w:cs="Arial"/>
                <w:sz w:val="18"/>
                <w:szCs w:val="18"/>
              </w:rPr>
              <w:t>M and VerifyNow: kappa = -0.047;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impedance aggregometry ADP 20 </w:t>
            </w:r>
            <w:r w:rsidRPr="00537B92">
              <w:rPr>
                <w:rFonts w:ascii="Arial" w:hAnsi="Arial" w:cs="Arial"/>
                <w:sz w:val="18"/>
                <w:szCs w:val="18"/>
                <w:lang w:val="el-GR"/>
              </w:rPr>
              <w:t>μ</w:t>
            </w:r>
            <w:r w:rsidRPr="00537B92">
              <w:rPr>
                <w:rFonts w:ascii="Arial" w:hAnsi="Arial" w:cs="Arial"/>
                <w:sz w:val="18"/>
                <w:szCs w:val="18"/>
              </w:rPr>
              <w:t>M and VerifyNow: kappa = 0.132; P=NS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(exact p-values were not reported)</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Jeong</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S. Korea</w:t>
            </w:r>
          </w:p>
          <w:p w:rsidR="00537B92" w:rsidRPr="00537B92" w:rsidRDefault="00537B92" w:rsidP="00537B92">
            <w:pPr>
              <w:rPr>
                <w:rFonts w:ascii="Arial" w:hAnsi="Arial" w:cs="Arial"/>
                <w:sz w:val="18"/>
                <w:szCs w:val="18"/>
              </w:rPr>
            </w:pPr>
            <w:r w:rsidRPr="00537B92">
              <w:rPr>
                <w:rFonts w:ascii="Arial" w:hAnsi="Arial" w:cs="Arial"/>
                <w:sz w:val="18"/>
                <w:szCs w:val="18"/>
              </w:rPr>
              <w:t>18617479</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undergoing PCI with DES implantation at a single center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[ChronoLog 540 model,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 “from the arterial sheath”</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Unclear (on-clopidogrel)</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Measurements with both assays to assess analytic performance using LTA as the reference standard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300 patients provided measurements with both assays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Optimal VerifyNow cut-off for HPR using LTA (with 50% cut-off) as the reference standard = 239 PRU; AUC = 0.794; 95% CI 0.736, 0.851; P&lt;0.001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At this cut-off analytic sensitivity = 83.6%; analytic specificity = 68.3%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The authors also reported the analytic sensitivity and specificity of LTA % inhibition as 76.2% and 83.6% respectively, presumably against LTA on-treatment reactivity. For this analysis the optimal LTA cut-off was determined to be 20% (AUC = 0.841; 95% CI 0.790, 0.891).</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Kim</w:t>
            </w:r>
          </w:p>
          <w:p w:rsidR="00537B92" w:rsidRPr="00537B92" w:rsidRDefault="00537B92" w:rsidP="00537B92">
            <w:pPr>
              <w:rPr>
                <w:rFonts w:ascii="Arial" w:hAnsi="Arial" w:cs="Arial"/>
                <w:sz w:val="18"/>
                <w:szCs w:val="18"/>
              </w:rPr>
            </w:pPr>
            <w:r w:rsidRPr="00537B92">
              <w:rPr>
                <w:rFonts w:ascii="Arial" w:hAnsi="Arial" w:cs="Arial"/>
                <w:sz w:val="18"/>
                <w:szCs w:val="18"/>
              </w:rPr>
              <w:t>2010</w:t>
            </w:r>
          </w:p>
          <w:p w:rsidR="00537B92" w:rsidRPr="00537B92" w:rsidRDefault="00537B92" w:rsidP="00537B92">
            <w:pPr>
              <w:rPr>
                <w:rFonts w:ascii="Arial" w:hAnsi="Arial" w:cs="Arial"/>
                <w:sz w:val="18"/>
                <w:szCs w:val="18"/>
              </w:rPr>
            </w:pPr>
            <w:r w:rsidRPr="00537B92">
              <w:rPr>
                <w:rFonts w:ascii="Arial" w:hAnsi="Arial" w:cs="Arial"/>
                <w:sz w:val="18"/>
                <w:szCs w:val="18"/>
              </w:rPr>
              <w:t>S. Korea</w:t>
            </w:r>
          </w:p>
          <w:p w:rsidR="00537B92" w:rsidRPr="00537B92" w:rsidRDefault="00537B92" w:rsidP="00537B92">
            <w:pPr>
              <w:rPr>
                <w:rFonts w:ascii="Arial" w:hAnsi="Arial" w:cs="Arial"/>
                <w:sz w:val="18"/>
                <w:szCs w:val="18"/>
              </w:rPr>
            </w:pPr>
            <w:r w:rsidRPr="00537B92">
              <w:rPr>
                <w:rFonts w:ascii="Arial" w:hAnsi="Arial" w:cs="Arial"/>
                <w:sz w:val="18"/>
                <w:szCs w:val="18"/>
              </w:rPr>
              <w:t>20449634</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Unselected patients treated with coronary stenting for symptomatic coronary artery disease, including </w:t>
            </w:r>
            <w:r w:rsidRPr="00537B92">
              <w:rPr>
                <w:rFonts w:ascii="Arial" w:hAnsi="Arial" w:cs="Arial"/>
                <w:sz w:val="18"/>
                <w:szCs w:val="18"/>
              </w:rPr>
              <w:lastRenderedPageBreak/>
              <w:t>AMI</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[AggRam aggregometer, Helena Laboratories Corp., Beaumont, TX]</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Platelet agglutination </w:t>
            </w:r>
            <w:r w:rsidRPr="00537B92">
              <w:rPr>
                <w:rFonts w:ascii="Arial" w:hAnsi="Arial" w:cs="Arial"/>
                <w:sz w:val="18"/>
                <w:szCs w:val="18"/>
              </w:rPr>
              <w:lastRenderedPageBreak/>
              <w:t>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“Pre-discharge” measurement, either ≥3 d after coronary stenting in patients not treated with tirofiban or at ≥5 </w:t>
            </w:r>
            <w:r w:rsidRPr="00537B92">
              <w:rPr>
                <w:rFonts w:ascii="Arial" w:hAnsi="Arial" w:cs="Arial"/>
                <w:sz w:val="18"/>
                <w:szCs w:val="18"/>
              </w:rPr>
              <w:lastRenderedPageBreak/>
              <w:t>d post-procedure in patients treated with tirofiban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In cases of scheduled coronary stenting, clopidogrel-naive patients received clopidogrel 300-mg (loading) at least </w:t>
            </w:r>
            <w:r w:rsidRPr="00537B92">
              <w:rPr>
                <w:rFonts w:ascii="Arial" w:hAnsi="Arial" w:cs="Arial"/>
                <w:sz w:val="18"/>
                <w:szCs w:val="18"/>
              </w:rPr>
              <w:lastRenderedPageBreak/>
              <w:t xml:space="preserve">12 h pre-PCI. In patients already on chronic clopidogrel therapy, no loading dose was used. All AMI patients received clopidogrel 600 mg loading, followed by </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75 mg/d maintenance. Tirofiban was the only IIb/IIIa inhibitor allowed.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Measurements with both assays to assess agreement and analytic performance</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1058 patients contributed measurements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maximal reactivity by LTA ADP 5 </w:t>
            </w:r>
            <w:r w:rsidRPr="00537B92">
              <w:rPr>
                <w:rFonts w:ascii="Arial" w:hAnsi="Arial" w:cs="Arial"/>
                <w:sz w:val="18"/>
                <w:szCs w:val="18"/>
                <w:lang w:val="el-GR"/>
              </w:rPr>
              <w:t>μ</w:t>
            </w:r>
            <w:r w:rsidRPr="00537B92">
              <w:rPr>
                <w:rFonts w:ascii="Arial" w:hAnsi="Arial" w:cs="Arial"/>
                <w:sz w:val="18"/>
                <w:szCs w:val="18"/>
              </w:rPr>
              <w:t xml:space="preserve">mol/L (50% cut-off) and VerifyNow (PRU 240 cut-off): kappa = 0.438; P&lt;0.001; </w:t>
            </w:r>
            <w:r w:rsidRPr="00537B92">
              <w:rPr>
                <w:rFonts w:ascii="Arial" w:hAnsi="Arial" w:cs="Arial"/>
                <w:sz w:val="18"/>
                <w:szCs w:val="18"/>
              </w:rPr>
              <w:lastRenderedPageBreak/>
              <w:t>29.1% concordant positives; 42.5% concordant negatives; 5.9% positive by LTA but not VerifyNow; 22.5% positive by VerifyNow but not LTA; overall concordance = 71.6%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maximal reactivity by LTA ADP 20 </w:t>
            </w:r>
            <w:r w:rsidRPr="00537B92">
              <w:rPr>
                <w:rFonts w:ascii="Arial" w:hAnsi="Arial" w:cs="Arial"/>
                <w:sz w:val="18"/>
                <w:szCs w:val="18"/>
                <w:lang w:val="el-GR"/>
              </w:rPr>
              <w:t>μ</w:t>
            </w:r>
            <w:r w:rsidRPr="00537B92">
              <w:rPr>
                <w:rFonts w:ascii="Arial" w:hAnsi="Arial" w:cs="Arial"/>
                <w:sz w:val="18"/>
                <w:szCs w:val="18"/>
              </w:rPr>
              <w:t>mol/L (50% cut-off) and VerifyNow (PRU 240 cut-off): kappa = 0.505; P&lt;0.001; 35.0% concordant positives; 40.2% concordant negatives; 8.2% positive by LTA but not VerifyNow; 16.6% positive by VerifyNow but not LTA; overall concordance = 75.1%</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performance using LTA as the reference standard test (however, with different thresholds for each analysis)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against </w:t>
            </w:r>
            <w:r w:rsidRPr="00537B92">
              <w:rPr>
                <w:rFonts w:ascii="Arial" w:hAnsi="Arial" w:cs="Arial"/>
                <w:sz w:val="18"/>
                <w:szCs w:val="18"/>
              </w:rPr>
              <w:lastRenderedPageBreak/>
              <w:t xml:space="preserve">maximal reactivity by LTA ADP 5 </w:t>
            </w:r>
            <w:r w:rsidRPr="00537B92">
              <w:rPr>
                <w:rFonts w:ascii="Arial" w:hAnsi="Arial" w:cs="Arial"/>
                <w:sz w:val="18"/>
                <w:szCs w:val="18"/>
                <w:lang w:val="el-GR"/>
              </w:rPr>
              <w:t>μ</w:t>
            </w:r>
            <w:r w:rsidRPr="00537B92">
              <w:rPr>
                <w:rFonts w:ascii="Arial" w:hAnsi="Arial" w:cs="Arial"/>
                <w:sz w:val="18"/>
                <w:szCs w:val="18"/>
              </w:rPr>
              <w:t>mol/L (cut-off 50%): optimal cut-off for VerifyNow = 241; AUC = 0.822 (95% CI 0.797, 0.847); analytic sensitivity = 0.830; analytic specificity = 0.660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against maximal reactivity by LTA ADP 20 </w:t>
            </w:r>
            <w:r w:rsidRPr="00537B92">
              <w:rPr>
                <w:rFonts w:ascii="Arial" w:hAnsi="Arial" w:cs="Arial"/>
                <w:sz w:val="18"/>
                <w:szCs w:val="18"/>
                <w:lang w:val="el-GR"/>
              </w:rPr>
              <w:t>μ</w:t>
            </w:r>
            <w:r w:rsidRPr="00537B92">
              <w:rPr>
                <w:rFonts w:ascii="Arial" w:hAnsi="Arial" w:cs="Arial"/>
                <w:sz w:val="18"/>
                <w:szCs w:val="18"/>
              </w:rPr>
              <w:t>mol/L (cut-off 62%): optimal cut-off for VerifyNow = 241; AUC = 0.840 (95% CI 0.816, 0.863); analytic sensitivity = 0.807; analytic specificity = 0.714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against maximal reactivity by LTA ADP 20 </w:t>
            </w:r>
            <w:r w:rsidRPr="00537B92">
              <w:rPr>
                <w:rFonts w:ascii="Arial" w:hAnsi="Arial" w:cs="Arial"/>
                <w:sz w:val="18"/>
                <w:szCs w:val="18"/>
                <w:lang w:val="el-GR"/>
              </w:rPr>
              <w:t>μ</w:t>
            </w:r>
            <w:r w:rsidRPr="00537B92">
              <w:rPr>
                <w:rFonts w:ascii="Arial" w:hAnsi="Arial" w:cs="Arial"/>
                <w:sz w:val="18"/>
                <w:szCs w:val="18"/>
              </w:rPr>
              <w:t>mol/L (cut-off 50%): optimal cut-off for VerifyNow = 195; AUC = 0.851 (95% CI 0.827, 0.875); analytic sensitivity = 0.889; analytic specificity = 0.635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performance of VerifyNow against late reactivity by LTA ADP 5 </w:t>
            </w:r>
            <w:r w:rsidRPr="00537B92">
              <w:rPr>
                <w:rFonts w:ascii="Arial" w:hAnsi="Arial" w:cs="Arial"/>
                <w:sz w:val="18"/>
                <w:szCs w:val="18"/>
                <w:lang w:val="el-GR"/>
              </w:rPr>
              <w:t>μ</w:t>
            </w:r>
            <w:r w:rsidRPr="00537B92">
              <w:rPr>
                <w:rFonts w:ascii="Arial" w:hAnsi="Arial" w:cs="Arial"/>
                <w:sz w:val="18"/>
                <w:szCs w:val="18"/>
              </w:rPr>
              <w:t>mol/L (cut-off 14%): optimal cut-off for VerifyNow = 194; AUC = 0.826 (95% CI 0.796, 0.856); analytic sensitivity = 0.829; analytic specificity = 0.683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The paper also includes a table (see Table 2 in the manuscript for additional details) reporting comparisons between LTA (both maximal and late reactivity and 5 and 20 </w:t>
            </w:r>
            <w:r w:rsidRPr="00537B92">
              <w:rPr>
                <w:rFonts w:ascii="Arial" w:hAnsi="Arial" w:cs="Arial"/>
                <w:sz w:val="18"/>
                <w:szCs w:val="18"/>
                <w:lang w:val="el-GR"/>
              </w:rPr>
              <w:t>μ</w:t>
            </w:r>
            <w:r w:rsidRPr="00537B92">
              <w:rPr>
                <w:rFonts w:ascii="Arial" w:hAnsi="Arial" w:cs="Arial"/>
                <w:sz w:val="18"/>
                <w:szCs w:val="18"/>
              </w:rPr>
              <w:t xml:space="preserve">mol/L ADP concentration) and VerifyNow using different thresholds for each test. Kappa statistics for all combinations assessed ranged between 0.260 and 0.734; concordance rates ranged between 56.7% and 87.2%; analytic sensitivities ranged between </w:t>
            </w:r>
            <w:r w:rsidRPr="00537B92">
              <w:rPr>
                <w:rFonts w:ascii="Arial" w:hAnsi="Arial" w:cs="Arial"/>
                <w:sz w:val="18"/>
                <w:szCs w:val="18"/>
              </w:rPr>
              <w:lastRenderedPageBreak/>
              <w:t xml:space="preserve">68.8% and 100%; analytic specificities ranged between 34.4% and 83.9%. </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Lordkipanidze</w:t>
            </w:r>
          </w:p>
          <w:p w:rsidR="00537B92" w:rsidRPr="00537B92" w:rsidRDefault="00537B92" w:rsidP="00537B92">
            <w:pPr>
              <w:rPr>
                <w:rFonts w:ascii="Arial" w:hAnsi="Arial" w:cs="Arial"/>
                <w:sz w:val="18"/>
                <w:szCs w:val="18"/>
              </w:rPr>
            </w:pPr>
            <w:r w:rsidRPr="00537B92">
              <w:rPr>
                <w:rFonts w:ascii="Arial" w:hAnsi="Arial" w:cs="Arial"/>
                <w:sz w:val="18"/>
                <w:szCs w:val="18"/>
              </w:rPr>
              <w:t>2009</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19250657</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with CAD receiving aspirin and clopidogrel§ were recruited from a single center’s pre-angiography clinic</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[ChronoLog Aggregometer, 540 model,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count drop method” using impedance platelet counting before and after exposure to the agonist</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Using a Coulter ACT Series Analyzer, Beckman Coulter Inc., Fullerton,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NR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were on aspirin (80 mg/d) and clopidogrel (varying dosing schemes)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both methods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91 patients on clopidogrel + aspirin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comparing LTA (ADP 5 </w:t>
            </w:r>
            <w:r w:rsidRPr="00537B92">
              <w:rPr>
                <w:rFonts w:ascii="Arial" w:hAnsi="Arial" w:cs="Arial"/>
                <w:sz w:val="18"/>
                <w:szCs w:val="18"/>
                <w:lang w:val="el-GR"/>
              </w:rPr>
              <w:t>μ</w:t>
            </w:r>
            <w:r w:rsidRPr="00537B92">
              <w:rPr>
                <w:rFonts w:ascii="Arial" w:hAnsi="Arial" w:cs="Arial"/>
                <w:sz w:val="18"/>
                <w:szCs w:val="18"/>
              </w:rPr>
              <w:t xml:space="preserve">M) and platelet count drop method (ADP 5 </w:t>
            </w:r>
            <w:r w:rsidRPr="00537B92">
              <w:rPr>
                <w:rFonts w:ascii="Arial" w:hAnsi="Arial" w:cs="Arial"/>
                <w:sz w:val="18"/>
                <w:szCs w:val="18"/>
                <w:lang w:val="el-GR"/>
              </w:rPr>
              <w:t>μ</w:t>
            </w:r>
            <w:r w:rsidRPr="00537B92">
              <w:rPr>
                <w:rFonts w:ascii="Arial" w:hAnsi="Arial" w:cs="Arial"/>
                <w:sz w:val="18"/>
                <w:szCs w:val="18"/>
              </w:rPr>
              <w:t>M): bias = 13% (overestimation by platelet count drop); limits of agreement -27% to 52%.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Bland-Altman analysis comparing LTA (ADP 20 </w:t>
            </w:r>
            <w:r w:rsidRPr="00537B92">
              <w:rPr>
                <w:rFonts w:ascii="Arial" w:hAnsi="Arial" w:cs="Arial"/>
                <w:sz w:val="18"/>
                <w:szCs w:val="18"/>
                <w:lang w:val="el-GR"/>
              </w:rPr>
              <w:t>μ</w:t>
            </w:r>
            <w:r w:rsidRPr="00537B92">
              <w:rPr>
                <w:rFonts w:ascii="Arial" w:hAnsi="Arial" w:cs="Arial"/>
                <w:sz w:val="18"/>
                <w:szCs w:val="18"/>
              </w:rPr>
              <w:t xml:space="preserve">M) and platelet count drop method (ADP 20 </w:t>
            </w:r>
            <w:r w:rsidRPr="00537B92">
              <w:rPr>
                <w:rFonts w:ascii="Arial" w:hAnsi="Arial" w:cs="Arial"/>
                <w:sz w:val="18"/>
                <w:szCs w:val="18"/>
                <w:lang w:val="el-GR"/>
              </w:rPr>
              <w:t>μ</w:t>
            </w:r>
            <w:r w:rsidRPr="00537B92">
              <w:rPr>
                <w:rFonts w:ascii="Arial" w:hAnsi="Arial" w:cs="Arial"/>
                <w:sz w:val="18"/>
                <w:szCs w:val="18"/>
              </w:rPr>
              <w:t>M): bias = 18% (overestimation by platelet count drop); limits of agreement -30% to 65%.</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platelet count drop method (ADP 5 </w:t>
            </w:r>
            <w:r w:rsidRPr="00537B92">
              <w:rPr>
                <w:rFonts w:ascii="Arial" w:hAnsi="Arial" w:cs="Arial"/>
                <w:sz w:val="18"/>
                <w:szCs w:val="18"/>
                <w:lang w:val="el-GR"/>
              </w:rPr>
              <w:t>μ</w:t>
            </w:r>
            <w:r w:rsidRPr="00537B92">
              <w:rPr>
                <w:rFonts w:ascii="Arial" w:hAnsi="Arial" w:cs="Arial"/>
                <w:sz w:val="18"/>
                <w:szCs w:val="18"/>
              </w:rPr>
              <w:t>M) using a cut-off of 50% for both: kappa = 0.192; P = 0.02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platelet count drop method (ADP 20 </w:t>
            </w:r>
            <w:r w:rsidRPr="00537B92">
              <w:rPr>
                <w:rFonts w:ascii="Arial" w:hAnsi="Arial" w:cs="Arial"/>
                <w:sz w:val="18"/>
                <w:szCs w:val="18"/>
                <w:lang w:val="el-GR"/>
              </w:rPr>
              <w:t>μ</w:t>
            </w:r>
            <w:r w:rsidRPr="00537B92">
              <w:rPr>
                <w:rFonts w:ascii="Arial" w:hAnsi="Arial" w:cs="Arial"/>
                <w:sz w:val="18"/>
                <w:szCs w:val="18"/>
              </w:rPr>
              <w:t>M) using a cut-off of 50% for both: kappa = 0.281; P = 0.002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5 </w:t>
            </w:r>
            <w:r w:rsidRPr="00537B92">
              <w:rPr>
                <w:rFonts w:ascii="Arial" w:hAnsi="Arial" w:cs="Arial"/>
                <w:sz w:val="18"/>
                <w:szCs w:val="18"/>
                <w:lang w:val="el-GR"/>
              </w:rPr>
              <w:t>μ</w:t>
            </w:r>
            <w:r w:rsidRPr="00537B92">
              <w:rPr>
                <w:rFonts w:ascii="Arial" w:hAnsi="Arial" w:cs="Arial"/>
                <w:sz w:val="18"/>
                <w:szCs w:val="18"/>
              </w:rPr>
              <w:t xml:space="preserve">M) and platelet count drop method (ADP 5 </w:t>
            </w:r>
            <w:r w:rsidRPr="00537B92">
              <w:rPr>
                <w:rFonts w:ascii="Arial" w:hAnsi="Arial" w:cs="Arial"/>
                <w:sz w:val="18"/>
                <w:szCs w:val="18"/>
                <w:lang w:val="el-GR"/>
              </w:rPr>
              <w:t>μ</w:t>
            </w:r>
            <w:r w:rsidRPr="00537B92">
              <w:rPr>
                <w:rFonts w:ascii="Arial" w:hAnsi="Arial" w:cs="Arial"/>
                <w:sz w:val="18"/>
                <w:szCs w:val="18"/>
              </w:rPr>
              <w:t>M) using a cut-off of 70% for both: kappa = 0.207; P = 0.001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(ADP 20 </w:t>
            </w:r>
            <w:r w:rsidRPr="00537B92">
              <w:rPr>
                <w:rFonts w:ascii="Arial" w:hAnsi="Arial" w:cs="Arial"/>
                <w:sz w:val="18"/>
                <w:szCs w:val="18"/>
                <w:lang w:val="el-GR"/>
              </w:rPr>
              <w:t>μ</w:t>
            </w:r>
            <w:r w:rsidRPr="00537B92">
              <w:rPr>
                <w:rFonts w:ascii="Arial" w:hAnsi="Arial" w:cs="Arial"/>
                <w:sz w:val="18"/>
                <w:szCs w:val="18"/>
              </w:rPr>
              <w:t xml:space="preserve">M) and platelet count drop method (ADP 20 </w:t>
            </w:r>
            <w:r w:rsidRPr="00537B92">
              <w:rPr>
                <w:rFonts w:ascii="Arial" w:hAnsi="Arial" w:cs="Arial"/>
                <w:sz w:val="18"/>
                <w:szCs w:val="18"/>
                <w:lang w:val="el-GR"/>
              </w:rPr>
              <w:t>μ</w:t>
            </w:r>
            <w:r w:rsidRPr="00537B92">
              <w:rPr>
                <w:rFonts w:ascii="Arial" w:hAnsi="Arial" w:cs="Arial"/>
                <w:sz w:val="18"/>
                <w:szCs w:val="18"/>
              </w:rPr>
              <w:t>M) using a cut-off of 70% for both: kappa = 0.089; P = 0.191</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Pettersen</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Norway</w:t>
            </w:r>
          </w:p>
          <w:p w:rsidR="00537B92" w:rsidRPr="00537B92" w:rsidRDefault="00537B92" w:rsidP="00537B92">
            <w:pPr>
              <w:rPr>
                <w:rFonts w:ascii="Arial" w:hAnsi="Arial" w:cs="Arial"/>
                <w:sz w:val="18"/>
                <w:szCs w:val="18"/>
              </w:rPr>
            </w:pPr>
            <w:r w:rsidRPr="00537B92">
              <w:rPr>
                <w:rFonts w:ascii="Arial" w:hAnsi="Arial" w:cs="Arial"/>
                <w:sz w:val="18"/>
                <w:szCs w:val="18"/>
              </w:rPr>
              <w:t>21426546</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with symptomatic CAD randomized to the aspirin + clopidogrel arm of a randomized trial</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[PLT VASP/P2Y12 assay, Biocytex, France]; using flow cytometry [FACS Calibur System, Becton Dickinson, Plymouth, UK]</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One month post-randomization to the clopidogrel arm</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Aspirin (160 mg/d) + clopidogrel (75 mg/day) treatment for ≥ 1 mo; patients on aspirin only were used to derive the cut-off for “clopidogrel resistance”</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both assays to determine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219 patients were on aspirin + clopidogrel; 155 were analyzed successfully with the VASP assay and 212 with the VerifyNow assay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VASP assay and VerifyNow: kappa = 0.379; P&lt;0.001; concordance rate = 74.5%</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Sibbing</w:t>
            </w:r>
          </w:p>
          <w:p w:rsidR="00537B92" w:rsidRPr="00537B92" w:rsidRDefault="00537B92" w:rsidP="00537B92">
            <w:pPr>
              <w:rPr>
                <w:rFonts w:ascii="Arial" w:hAnsi="Arial" w:cs="Arial"/>
                <w:sz w:val="18"/>
                <w:szCs w:val="18"/>
              </w:rPr>
            </w:pPr>
            <w:r w:rsidRPr="00537B92">
              <w:rPr>
                <w:rFonts w:ascii="Arial" w:hAnsi="Arial" w:cs="Arial"/>
                <w:sz w:val="18"/>
                <w:szCs w:val="18"/>
              </w:rPr>
              <w:t>2008</w:t>
            </w:r>
          </w:p>
          <w:p w:rsidR="00537B92" w:rsidRPr="00537B92" w:rsidRDefault="00537B92" w:rsidP="00537B92">
            <w:pPr>
              <w:rPr>
                <w:rFonts w:ascii="Arial" w:hAnsi="Arial" w:cs="Arial"/>
                <w:sz w:val="18"/>
                <w:szCs w:val="18"/>
              </w:rPr>
            </w:pPr>
            <w:r w:rsidRPr="00537B92">
              <w:rPr>
                <w:rFonts w:ascii="Arial" w:hAnsi="Arial" w:cs="Arial"/>
                <w:sz w:val="18"/>
                <w:szCs w:val="18"/>
              </w:rPr>
              <w:t>Germany</w:t>
            </w:r>
          </w:p>
          <w:p w:rsidR="00537B92" w:rsidRPr="00537B92" w:rsidRDefault="00537B92" w:rsidP="00537B92">
            <w:pPr>
              <w:rPr>
                <w:rFonts w:ascii="Arial" w:hAnsi="Arial" w:cs="Arial"/>
                <w:sz w:val="18"/>
                <w:szCs w:val="18"/>
              </w:rPr>
            </w:pPr>
            <w:r w:rsidRPr="00537B92">
              <w:rPr>
                <w:rFonts w:ascii="Arial" w:hAnsi="Arial" w:cs="Arial"/>
                <w:sz w:val="18"/>
                <w:szCs w:val="18"/>
              </w:rPr>
              <w:t>18217143</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scheduled for coronary angiography; patients were required to not have received clopidogrel within 4 w of enrollment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or 20 </w:t>
            </w:r>
            <w:r w:rsidRPr="00537B92">
              <w:rPr>
                <w:rFonts w:ascii="Arial" w:hAnsi="Arial" w:cs="Arial"/>
                <w:sz w:val="18"/>
                <w:szCs w:val="18"/>
                <w:lang w:val="el-GR"/>
              </w:rPr>
              <w:t>μ</w:t>
            </w:r>
            <w:r w:rsidRPr="00537B92">
              <w:rPr>
                <w:rFonts w:ascii="Arial" w:hAnsi="Arial" w:cs="Arial"/>
                <w:sz w:val="18"/>
                <w:szCs w:val="18"/>
              </w:rPr>
              <w:t xml:space="preserve">M) </w:t>
            </w:r>
          </w:p>
          <w:p w:rsidR="00537B92" w:rsidRPr="00537B92" w:rsidRDefault="00537B92" w:rsidP="00537B92">
            <w:pPr>
              <w:rPr>
                <w:rFonts w:ascii="Arial" w:hAnsi="Arial" w:cs="Arial"/>
                <w:sz w:val="18"/>
                <w:szCs w:val="18"/>
              </w:rPr>
            </w:pPr>
            <w:r w:rsidRPr="00537B92">
              <w:rPr>
                <w:rFonts w:ascii="Arial" w:hAnsi="Arial" w:cs="Arial"/>
                <w:sz w:val="18"/>
                <w:szCs w:val="18"/>
              </w:rPr>
              <w:t>[PAPA 8 aggregometer, Bio/Data, no additional information reported]</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6.4 </w:t>
            </w:r>
            <w:r w:rsidRPr="00537B92">
              <w:rPr>
                <w:rFonts w:ascii="Arial" w:hAnsi="Arial" w:cs="Arial"/>
                <w:sz w:val="18"/>
                <w:szCs w:val="18"/>
                <w:lang w:val="el-GR"/>
              </w:rPr>
              <w:t>μ</w:t>
            </w:r>
            <w:r w:rsidRPr="00537B92">
              <w:rPr>
                <w:rFonts w:ascii="Arial" w:hAnsi="Arial" w:cs="Arial"/>
                <w:sz w:val="18"/>
                <w:szCs w:val="18"/>
              </w:rPr>
              <w:t>M)</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Munich, Germany]</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Samples were obtained from a subset of 60 patients at baseline (pre-clopidogrel loading) and from all participating patients (n=149) during catheterization (post-loading dose)</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received a loading dose of clopidogrel of 600 mg, recommended to be given ≥ 2 h before catheterization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both methods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149 patients contributed on-clopidogrel measurements; 60 patients also had baseline (pre-clopidogrel) measurements available</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Multiplate analyzer for lowest quartile of inhibition (n = 60): concordant positives = 7 (12%); concordant negatives = 35 (58%); positives by LTA but not Multiplate analyzer = 8 (13%); positives by Multiplate analyzer but not LTA = 10 (17%)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Multiplate analyzer for lowest quartile of inhibition (n=149): concordant positives = 21 (14%); concordant negatives = 94 (63%); positives by LTA but not Multiplate analyzer = 17 (11%); positives by Multiplate analyzer but not LTA = 17 (11%)</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Gaglia</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USA</w:t>
            </w:r>
          </w:p>
          <w:p w:rsidR="00537B92" w:rsidRPr="00537B92" w:rsidRDefault="00537B92" w:rsidP="00537B92">
            <w:pPr>
              <w:rPr>
                <w:rFonts w:ascii="Arial" w:hAnsi="Arial" w:cs="Arial"/>
                <w:sz w:val="18"/>
                <w:szCs w:val="18"/>
              </w:rPr>
            </w:pPr>
            <w:r w:rsidRPr="00537B92">
              <w:rPr>
                <w:rFonts w:ascii="Arial" w:hAnsi="Arial" w:cs="Arial"/>
                <w:sz w:val="18"/>
                <w:szCs w:val="18"/>
              </w:rPr>
              <w:t>21919956</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undergoing urgent or elective PCI in a single center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or 20 μM) </w:t>
            </w:r>
          </w:p>
          <w:p w:rsidR="00537B92" w:rsidRPr="00537B92" w:rsidRDefault="00537B92" w:rsidP="00537B92">
            <w:pPr>
              <w:rPr>
                <w:rFonts w:ascii="Arial" w:hAnsi="Arial" w:cs="Arial"/>
                <w:sz w:val="18"/>
                <w:szCs w:val="18"/>
              </w:rPr>
            </w:pPr>
            <w:r w:rsidRPr="00537B92">
              <w:rPr>
                <w:rFonts w:ascii="Arial" w:hAnsi="Arial" w:cs="Arial"/>
                <w:sz w:val="18"/>
                <w:szCs w:val="18"/>
              </w:rPr>
              <w:t>[ChronoLog,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[PLT VASP/P2Y12 assay, BioCytex, Marseille, France]; using flow cytometry [FACSCalibur flow cytometer, BD Biosciences, San Jose,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of on-treatment platelet reactivity were obtained between 6 and 24 h following PCI and ≥ 6 hours following clopidogrel loading</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received clopidogrel loading (600 mg) ≥ 2 h prior to platelet testing or where on clopidogrel maintenance (75 mg) ≥ 5 d prior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3 assays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200 patients </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“All kappa statistics had P values &lt;0.001” and “ranged from 0.33-0.53”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ADP 5 μM and LTA ADP 20 μM: kappa = 0.53 (95% CI 0.37, 0.68)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VASP and LTA ADP 5 μM: kappa = 0.33 (95% CI 0.19, 0.47)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results were not reported for other pairs of assays]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“Overall, the level of agreement between assays was in the moderate to poor range”</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McGlasson</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USA</w:t>
            </w:r>
          </w:p>
          <w:p w:rsidR="00537B92" w:rsidRPr="00537B92" w:rsidRDefault="00537B92" w:rsidP="00537B92">
            <w:pPr>
              <w:rPr>
                <w:rFonts w:ascii="Arial" w:hAnsi="Arial" w:cs="Arial"/>
                <w:sz w:val="18"/>
                <w:szCs w:val="18"/>
              </w:rPr>
            </w:pPr>
            <w:r w:rsidRPr="00537B92">
              <w:rPr>
                <w:rFonts w:ascii="Arial" w:hAnsi="Arial" w:cs="Arial"/>
                <w:sz w:val="18"/>
                <w:szCs w:val="18"/>
              </w:rPr>
              <w:t>21799401</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scheduled to receive clopidogrel for cardiovascular or cerebrovascular disase, or with ≥ 2 risk factors for vascular disease (AHA criteria)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(ADP/PGE1 cartridges and collagen/ADP)</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[INNOVANCE PFA P2Y and PFA-100 collagen/ADP cartridges, Siemens Healthcare Inc., Deerfield, IL]; the INNOVANCE assay was used on samples </w:t>
            </w:r>
            <w:r w:rsidRPr="00537B92">
              <w:rPr>
                <w:rFonts w:ascii="Arial" w:hAnsi="Arial" w:cs="Arial"/>
                <w:sz w:val="18"/>
                <w:szCs w:val="18"/>
              </w:rPr>
              <w:lastRenderedPageBreak/>
              <w:t>anticoagulated with 3.2% and 3.8% citrate</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(ADP 20 μmol/L)</w:t>
            </w:r>
          </w:p>
          <w:p w:rsidR="00537B92" w:rsidRPr="00537B92" w:rsidRDefault="00537B92" w:rsidP="00537B92">
            <w:pPr>
              <w:rPr>
                <w:rFonts w:ascii="Arial" w:hAnsi="Arial" w:cs="Arial"/>
                <w:sz w:val="18"/>
                <w:szCs w:val="18"/>
              </w:rPr>
            </w:pPr>
            <w:r w:rsidRPr="00537B92">
              <w:rPr>
                <w:rFonts w:ascii="Arial" w:hAnsi="Arial" w:cs="Arial"/>
                <w:sz w:val="18"/>
                <w:szCs w:val="18"/>
              </w:rPr>
              <w:t>[ChronoLog 700 aggregometer, Chrono-Log, Havertown,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Whole blood aggregometry</w:t>
            </w:r>
          </w:p>
          <w:p w:rsidR="00537B92" w:rsidRPr="00537B92" w:rsidRDefault="00537B92" w:rsidP="00537B92">
            <w:pPr>
              <w:rPr>
                <w:rFonts w:ascii="Arial" w:hAnsi="Arial" w:cs="Arial"/>
                <w:sz w:val="18"/>
                <w:szCs w:val="18"/>
              </w:rPr>
            </w:pPr>
            <w:r w:rsidRPr="00537B92">
              <w:rPr>
                <w:rFonts w:ascii="Arial" w:hAnsi="Arial" w:cs="Arial"/>
                <w:sz w:val="18"/>
                <w:szCs w:val="18"/>
              </w:rPr>
              <w:t>(ADP 5 and 10 μmol/L)</w:t>
            </w:r>
          </w:p>
          <w:p w:rsidR="00537B92" w:rsidRPr="00537B92" w:rsidRDefault="00537B92" w:rsidP="00537B92">
            <w:pPr>
              <w:rPr>
                <w:rFonts w:ascii="Arial" w:hAnsi="Arial" w:cs="Arial"/>
                <w:sz w:val="18"/>
                <w:szCs w:val="18"/>
              </w:rPr>
            </w:pPr>
            <w:r w:rsidRPr="00537B92">
              <w:rPr>
                <w:rFonts w:ascii="Arial" w:hAnsi="Arial" w:cs="Arial"/>
                <w:sz w:val="18"/>
                <w:szCs w:val="18"/>
              </w:rPr>
              <w:t>[ChronoLog 700 aggregometer, Chrono-Log, Havertown, PA]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Blood was collected 6-24 h post-clopidogrel loading or ≥ 7 d of maintenance therapy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scheduled to receive clopidogrel; patients receiving non-clopidogrel platelet function inhibitors were excluded. 96 patients were receiving clopidogrel </w:t>
            </w:r>
            <w:r w:rsidRPr="00537B92">
              <w:rPr>
                <w:rFonts w:ascii="Arial" w:hAnsi="Arial" w:cs="Arial"/>
                <w:sz w:val="18"/>
                <w:szCs w:val="18"/>
              </w:rPr>
              <w:lastRenderedPageBreak/>
              <w:t>maintenance treatment (75 mg/day for ≥7 d); 5 received clopidogrel loading with 300-600 mg.</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Measurements with multiple assays and using different anti-coagulants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101 patients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(3.2% citrate) and %inhibition = 71%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(3.2% citrate) and P2Y12 PRU = 74%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w:t>
            </w:r>
            <w:r w:rsidRPr="00537B92">
              <w:rPr>
                <w:rFonts w:ascii="Arial" w:hAnsi="Arial" w:cs="Arial"/>
                <w:sz w:val="18"/>
                <w:szCs w:val="18"/>
              </w:rPr>
              <w:lastRenderedPageBreak/>
              <w:t xml:space="preserve">PFA P2Y (3.2% citrate) and whole-blood aggregometry (5 </w:t>
            </w:r>
            <w:r w:rsidRPr="00537B92">
              <w:rPr>
                <w:rFonts w:ascii="Arial" w:hAnsi="Arial" w:cs="Arial"/>
                <w:sz w:val="18"/>
                <w:szCs w:val="18"/>
                <w:lang w:val="el-GR"/>
              </w:rPr>
              <w:t>μ</w:t>
            </w:r>
            <w:r w:rsidRPr="00537B92">
              <w:rPr>
                <w:rFonts w:ascii="Arial" w:hAnsi="Arial" w:cs="Arial"/>
                <w:sz w:val="18"/>
                <w:szCs w:val="18"/>
              </w:rPr>
              <w:t>mol/L) = 64%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PFA P2Y (3.2% citrate) and whole-blood aggregometry (10 </w:t>
            </w:r>
            <w:r w:rsidRPr="00537B92">
              <w:rPr>
                <w:rFonts w:ascii="Arial" w:hAnsi="Arial" w:cs="Arial"/>
                <w:sz w:val="18"/>
                <w:szCs w:val="18"/>
                <w:lang w:val="el-GR"/>
              </w:rPr>
              <w:t>μ</w:t>
            </w:r>
            <w:r w:rsidRPr="00537B92">
              <w:rPr>
                <w:rFonts w:ascii="Arial" w:hAnsi="Arial" w:cs="Arial"/>
                <w:sz w:val="18"/>
                <w:szCs w:val="18"/>
              </w:rPr>
              <w:t>mol/L) = 65%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(3.2% citrate) and LTA = 69%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(3.8% citrate) and VerifyNow P2Y12 %inhibition = 72%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(3.8% citrate) and P2Y12 PRU = 62%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PFA P2Y (3.8% citrate) and whole-blood aggregometry (5 </w:t>
            </w:r>
            <w:r w:rsidRPr="00537B92">
              <w:rPr>
                <w:rFonts w:ascii="Arial" w:hAnsi="Arial" w:cs="Arial"/>
                <w:sz w:val="18"/>
                <w:szCs w:val="18"/>
                <w:lang w:val="el-GR"/>
              </w:rPr>
              <w:t>μ</w:t>
            </w:r>
            <w:r w:rsidRPr="00537B92">
              <w:rPr>
                <w:rFonts w:ascii="Arial" w:hAnsi="Arial" w:cs="Arial"/>
                <w:sz w:val="18"/>
                <w:szCs w:val="18"/>
              </w:rPr>
              <w:t>mol/L) = 90%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(3.8% citrate) and whole-</w:t>
            </w:r>
            <w:r w:rsidRPr="00537B92">
              <w:rPr>
                <w:rFonts w:ascii="Arial" w:hAnsi="Arial" w:cs="Arial"/>
                <w:sz w:val="18"/>
                <w:szCs w:val="18"/>
              </w:rPr>
              <w:lastRenderedPageBreak/>
              <w:t xml:space="preserve">blood aggregometry (10 </w:t>
            </w:r>
            <w:r w:rsidRPr="00537B92">
              <w:rPr>
                <w:rFonts w:ascii="Arial" w:hAnsi="Arial" w:cs="Arial"/>
                <w:sz w:val="18"/>
                <w:szCs w:val="18"/>
                <w:lang w:val="el-GR"/>
              </w:rPr>
              <w:t>μ</w:t>
            </w:r>
            <w:r w:rsidRPr="00537B92">
              <w:rPr>
                <w:rFonts w:ascii="Arial" w:hAnsi="Arial" w:cs="Arial"/>
                <w:sz w:val="18"/>
                <w:szCs w:val="18"/>
              </w:rPr>
              <w:t>mol/L) = 90%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PFA P2Y (3.8% citrate) and LTA = 76%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VerifyNow P2Y12 %inhibition and whole-blood aggregometry (5 </w:t>
            </w:r>
            <w:r w:rsidRPr="00537B92">
              <w:rPr>
                <w:rFonts w:ascii="Arial" w:hAnsi="Arial" w:cs="Arial"/>
                <w:sz w:val="18"/>
                <w:szCs w:val="18"/>
                <w:lang w:val="el-GR"/>
              </w:rPr>
              <w:t>μ</w:t>
            </w:r>
            <w:r w:rsidRPr="00537B92">
              <w:rPr>
                <w:rFonts w:ascii="Arial" w:hAnsi="Arial" w:cs="Arial"/>
                <w:sz w:val="18"/>
                <w:szCs w:val="18"/>
              </w:rPr>
              <w:t>mol/L) = 68%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VerifyNow P2Y12 %inhibition and whole-blood aggregometry (10 </w:t>
            </w:r>
            <w:r w:rsidRPr="00537B92">
              <w:rPr>
                <w:rFonts w:ascii="Arial" w:hAnsi="Arial" w:cs="Arial"/>
                <w:sz w:val="18"/>
                <w:szCs w:val="18"/>
                <w:lang w:val="el-GR"/>
              </w:rPr>
              <w:t>μ</w:t>
            </w:r>
            <w:r w:rsidRPr="00537B92">
              <w:rPr>
                <w:rFonts w:ascii="Arial" w:hAnsi="Arial" w:cs="Arial"/>
                <w:sz w:val="18"/>
                <w:szCs w:val="18"/>
              </w:rPr>
              <w:t>mol/L) = 67%</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VerifyNow P2Y12 %inhibition and LTA = 72%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VerifyNow P2Y12 PRU and whole-blood aggregometry (5 </w:t>
            </w:r>
            <w:r w:rsidRPr="00537B92">
              <w:rPr>
                <w:rFonts w:ascii="Arial" w:hAnsi="Arial" w:cs="Arial"/>
                <w:sz w:val="18"/>
                <w:szCs w:val="18"/>
                <w:lang w:val="el-GR"/>
              </w:rPr>
              <w:t>μ</w:t>
            </w:r>
            <w:r w:rsidRPr="00537B92">
              <w:rPr>
                <w:rFonts w:ascii="Arial" w:hAnsi="Arial" w:cs="Arial"/>
                <w:sz w:val="18"/>
                <w:szCs w:val="18"/>
              </w:rPr>
              <w:t>mol/L) = 60%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concordance between VerifyNow P2Y12 PRU and whole-blood </w:t>
            </w:r>
            <w:r w:rsidRPr="00537B92">
              <w:rPr>
                <w:rFonts w:ascii="Arial" w:hAnsi="Arial" w:cs="Arial"/>
                <w:sz w:val="18"/>
                <w:szCs w:val="18"/>
              </w:rPr>
              <w:lastRenderedPageBreak/>
              <w:t xml:space="preserve">aggregometry (10 </w:t>
            </w:r>
            <w:r w:rsidRPr="00537B92">
              <w:rPr>
                <w:rFonts w:ascii="Arial" w:hAnsi="Arial" w:cs="Arial"/>
                <w:sz w:val="18"/>
                <w:szCs w:val="18"/>
                <w:lang w:val="el-GR"/>
              </w:rPr>
              <w:t>μ</w:t>
            </w:r>
            <w:r w:rsidRPr="00537B92">
              <w:rPr>
                <w:rFonts w:ascii="Arial" w:hAnsi="Arial" w:cs="Arial"/>
                <w:sz w:val="18"/>
                <w:szCs w:val="18"/>
              </w:rPr>
              <w:t>mol/L) = 59%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concordance between VerifyNow P2Y12 PRU and LTA = 69%</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Park</w:t>
            </w:r>
          </w:p>
          <w:p w:rsidR="00537B92" w:rsidRPr="00537B92" w:rsidRDefault="00537B92" w:rsidP="00537B92">
            <w:pPr>
              <w:rPr>
                <w:rFonts w:ascii="Arial" w:hAnsi="Arial" w:cs="Arial"/>
                <w:sz w:val="18"/>
                <w:szCs w:val="18"/>
              </w:rPr>
            </w:pPr>
            <w:r w:rsidRPr="00537B92">
              <w:rPr>
                <w:rFonts w:ascii="Arial" w:hAnsi="Arial" w:cs="Arial"/>
                <w:sz w:val="18"/>
                <w:szCs w:val="18"/>
              </w:rPr>
              <w:t>2012</w:t>
            </w:r>
          </w:p>
          <w:p w:rsidR="00537B92" w:rsidRPr="00537B92" w:rsidRDefault="00537B92" w:rsidP="00537B92">
            <w:pPr>
              <w:rPr>
                <w:rFonts w:ascii="Arial" w:hAnsi="Arial" w:cs="Arial"/>
                <w:sz w:val="18"/>
                <w:szCs w:val="18"/>
              </w:rPr>
            </w:pPr>
            <w:r w:rsidRPr="00537B92">
              <w:rPr>
                <w:rFonts w:ascii="Arial" w:hAnsi="Arial" w:cs="Arial"/>
                <w:sz w:val="18"/>
                <w:szCs w:val="18"/>
              </w:rPr>
              <w:t>Korea</w:t>
            </w:r>
          </w:p>
          <w:p w:rsidR="00537B92" w:rsidRPr="00537B92" w:rsidRDefault="00537B92" w:rsidP="00537B92">
            <w:pPr>
              <w:rPr>
                <w:rFonts w:ascii="Arial" w:hAnsi="Arial" w:cs="Arial"/>
                <w:sz w:val="18"/>
                <w:szCs w:val="18"/>
              </w:rPr>
            </w:pPr>
            <w:r w:rsidRPr="00537B92">
              <w:rPr>
                <w:rFonts w:ascii="Arial" w:hAnsi="Arial" w:cs="Arial"/>
                <w:sz w:val="18"/>
                <w:szCs w:val="18"/>
              </w:rPr>
              <w:t>21942752</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admitted to a single academic cardiology department to undergo non-emergent PCI</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5 and 20 μM and ADP 5 </w:t>
            </w:r>
            <w:r w:rsidRPr="00537B92">
              <w:rPr>
                <w:rFonts w:ascii="Arial" w:hAnsi="Arial" w:cs="Arial"/>
                <w:sz w:val="18"/>
                <w:szCs w:val="18"/>
                <w:lang w:val="el-GR"/>
              </w:rPr>
              <w:t>μ</w:t>
            </w:r>
            <w:r w:rsidRPr="00537B92">
              <w:rPr>
                <w:rFonts w:ascii="Arial" w:hAnsi="Arial" w:cs="Arial"/>
                <w:sz w:val="18"/>
                <w:szCs w:val="18"/>
              </w:rPr>
              <w:t>M + 5 nM PGE1)</w:t>
            </w:r>
          </w:p>
          <w:p w:rsidR="00537B92" w:rsidRPr="00537B92" w:rsidRDefault="00537B92" w:rsidP="00537B92">
            <w:pPr>
              <w:rPr>
                <w:rFonts w:ascii="Arial" w:hAnsi="Arial" w:cs="Arial"/>
                <w:sz w:val="18"/>
                <w:szCs w:val="18"/>
              </w:rPr>
            </w:pPr>
            <w:r w:rsidRPr="00537B92">
              <w:rPr>
                <w:rFonts w:ascii="Arial" w:hAnsi="Arial" w:cs="Arial"/>
                <w:sz w:val="18"/>
                <w:szCs w:val="18"/>
              </w:rPr>
              <w:t>[AggRAM aggregometer, Helena Laboratories Corp., Beaumont, TX]</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(ADPtest 6.4 </w:t>
            </w:r>
            <w:r w:rsidRPr="00537B92">
              <w:rPr>
                <w:rFonts w:ascii="Arial" w:hAnsi="Arial" w:cs="Arial"/>
                <w:sz w:val="18"/>
                <w:szCs w:val="18"/>
                <w:lang w:val="el-GR"/>
              </w:rPr>
              <w:t xml:space="preserve">μΜ </w:t>
            </w:r>
            <w:r w:rsidRPr="00537B92">
              <w:rPr>
                <w:rFonts w:ascii="Arial" w:hAnsi="Arial" w:cs="Arial"/>
                <w:sz w:val="18"/>
                <w:szCs w:val="18"/>
              </w:rPr>
              <w:t xml:space="preserve">ADP and high-sensitivity ADPtest 6.4 </w:t>
            </w:r>
            <w:r w:rsidRPr="00537B92">
              <w:rPr>
                <w:rFonts w:ascii="Arial" w:hAnsi="Arial" w:cs="Arial"/>
                <w:sz w:val="18"/>
                <w:szCs w:val="18"/>
                <w:lang w:val="el-GR"/>
              </w:rPr>
              <w:t xml:space="preserve">μΜ </w:t>
            </w:r>
            <w:r w:rsidRPr="00537B92">
              <w:rPr>
                <w:rFonts w:ascii="Arial" w:hAnsi="Arial" w:cs="Arial"/>
                <w:sz w:val="18"/>
                <w:szCs w:val="18"/>
              </w:rPr>
              <w:t>ADP + 9.4 nM PGE1)</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Munich, Germany]</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Blood samples were obtained from the arterial sheath at the catheterization laboratory (pre-PCI)</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were pre-treated with aspiring (100 mg/d) and clopidogrel (75 mg/d) for ≥ 5 d pre-PCI or received loading doses of aspirin (300 mg) and clopidogrel (600 mg); patients receiving IIb/IIIa inhibitors were excluded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Testing of samples with two assays, and different agonists/ agonist concentrations,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246 patients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Cut-offs for the assessment of agreement and analytic performance (summarized below) were obtained using ROC analysis with the ADPtest treated as the reference standard; cut-offs were chosen to maximize the sum of analytic sensitivity and specificity.</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Analytic performance for high on-clopidogrel reactivity</w:t>
            </w:r>
          </w:p>
          <w:p w:rsidR="00537B92" w:rsidRPr="00537B92" w:rsidRDefault="00537B92" w:rsidP="00537B92">
            <w:pPr>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 xml:space="preserve">Analytic performance of LTA maximal platelet reactivity (5 </w:t>
            </w:r>
            <w:r w:rsidRPr="00537B92">
              <w:rPr>
                <w:rFonts w:ascii="Arial" w:hAnsi="Arial" w:cs="Arial"/>
                <w:sz w:val="18"/>
                <w:szCs w:val="18"/>
                <w:lang w:val="el-GR"/>
              </w:rPr>
              <w:t>μ</w:t>
            </w:r>
            <w:r w:rsidRPr="00537B92">
              <w:rPr>
                <w:rFonts w:ascii="Arial" w:hAnsi="Arial" w:cs="Arial"/>
                <w:sz w:val="18"/>
                <w:szCs w:val="18"/>
              </w:rPr>
              <w:t xml:space="preserve">M ADP) AUC = 0.836, 95% CI: 0.777, 0.896; P&lt;0.001. At the cut-off of </w:t>
            </w:r>
            <w:r w:rsidRPr="00537B92">
              <w:rPr>
                <w:rFonts w:ascii="Arial" w:hAnsi="Arial" w:cs="Arial"/>
                <w:sz w:val="18"/>
                <w:szCs w:val="18"/>
              </w:rPr>
              <w:sym w:font="Symbol" w:char="F0B3"/>
            </w:r>
            <w:r w:rsidRPr="00537B92">
              <w:rPr>
                <w:rFonts w:ascii="Arial" w:hAnsi="Arial" w:cs="Arial"/>
                <w:sz w:val="18"/>
                <w:szCs w:val="18"/>
              </w:rPr>
              <w:t>46%, analytic sensitivity = 70.6% and analytic specificity = 89.3%</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lastRenderedPageBreak/>
              <w:t xml:space="preserve">Analytic performance of LTA maximal platelet reactivity (20 </w:t>
            </w:r>
            <w:r w:rsidRPr="00537B92">
              <w:rPr>
                <w:rFonts w:ascii="Arial" w:hAnsi="Arial" w:cs="Arial"/>
                <w:sz w:val="18"/>
                <w:szCs w:val="18"/>
                <w:lang w:val="el-GR"/>
              </w:rPr>
              <w:t>μ</w:t>
            </w:r>
            <w:r w:rsidRPr="00537B92">
              <w:rPr>
                <w:rFonts w:ascii="Arial" w:hAnsi="Arial" w:cs="Arial"/>
                <w:sz w:val="18"/>
                <w:szCs w:val="18"/>
              </w:rPr>
              <w:t xml:space="preserve">M ADP) AUC = 0.846, 95% CI: 0.785, 0.908; P&lt;0.001. At the cut-off of </w:t>
            </w:r>
            <w:r w:rsidRPr="00537B92">
              <w:rPr>
                <w:rFonts w:ascii="Arial" w:hAnsi="Arial" w:cs="Arial"/>
                <w:sz w:val="18"/>
                <w:szCs w:val="18"/>
              </w:rPr>
              <w:sym w:font="Symbol" w:char="F0B3"/>
            </w:r>
            <w:r w:rsidRPr="00537B92">
              <w:rPr>
                <w:rFonts w:ascii="Arial" w:hAnsi="Arial" w:cs="Arial"/>
                <w:sz w:val="18"/>
                <w:szCs w:val="18"/>
              </w:rPr>
              <w:t>59%, analytic sensitivity = 75.0% and analytic specificity = 88.2%</w:t>
            </w:r>
          </w:p>
          <w:p w:rsidR="00537B92" w:rsidRPr="00537B92" w:rsidRDefault="00537B92" w:rsidP="00537B92">
            <w:pPr>
              <w:widowControl w:val="0"/>
              <w:pBdr>
                <w:bottom w:val="single" w:sz="6" w:space="1" w:color="auto"/>
              </w:pBdr>
              <w:autoSpaceDE w:val="0"/>
              <w:autoSpaceDN w:val="0"/>
              <w:adjustRightInd w:val="0"/>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Agreement for high on-clopidogrel reactivity</w:t>
            </w:r>
          </w:p>
          <w:p w:rsidR="00537B92" w:rsidRPr="00537B92" w:rsidRDefault="00537B92" w:rsidP="00537B92">
            <w:pPr>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Agreement between ADPtest (</w:t>
            </w:r>
            <w:r w:rsidRPr="00537B92">
              <w:rPr>
                <w:rFonts w:ascii="Arial" w:hAnsi="Arial" w:cs="Arial"/>
                <w:sz w:val="18"/>
                <w:szCs w:val="18"/>
              </w:rPr>
              <w:sym w:font="Symbol" w:char="F0B3"/>
            </w:r>
            <w:r w:rsidRPr="00537B92">
              <w:rPr>
                <w:rFonts w:ascii="Arial" w:hAnsi="Arial" w:cs="Arial"/>
                <w:sz w:val="18"/>
                <w:szCs w:val="18"/>
              </w:rPr>
              <w:t xml:space="preserve">47 U), and LTA maximal platelet aggregation (5 </w:t>
            </w:r>
            <w:r w:rsidRPr="00537B92">
              <w:rPr>
                <w:rFonts w:ascii="Arial" w:hAnsi="Arial" w:cs="Arial"/>
                <w:sz w:val="18"/>
                <w:szCs w:val="18"/>
                <w:lang w:val="el-GR"/>
              </w:rPr>
              <w:t>μ</w:t>
            </w:r>
            <w:r w:rsidRPr="00537B92">
              <w:rPr>
                <w:rFonts w:ascii="Arial" w:hAnsi="Arial" w:cs="Arial"/>
                <w:sz w:val="18"/>
                <w:szCs w:val="18"/>
              </w:rPr>
              <w:t xml:space="preserve">M ADP) </w:t>
            </w:r>
            <w:r w:rsidRPr="00537B92">
              <w:rPr>
                <w:rFonts w:ascii="Arial" w:hAnsi="Arial" w:cs="Arial"/>
                <w:sz w:val="18"/>
                <w:szCs w:val="18"/>
              </w:rPr>
              <w:sym w:font="Symbol" w:char="F0B3"/>
            </w:r>
            <w:r w:rsidRPr="00537B92">
              <w:rPr>
                <w:rFonts w:ascii="Arial" w:hAnsi="Arial" w:cs="Arial"/>
                <w:sz w:val="18"/>
                <w:szCs w:val="18"/>
              </w:rPr>
              <w:t>46%: kappa =0.537; P&lt;0.001 and concordance = 80.5%</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Agreement between ADPtest (</w:t>
            </w:r>
            <w:r w:rsidRPr="00537B92">
              <w:rPr>
                <w:rFonts w:ascii="Arial" w:hAnsi="Arial" w:cs="Arial"/>
                <w:sz w:val="18"/>
                <w:szCs w:val="18"/>
              </w:rPr>
              <w:sym w:font="Symbol" w:char="F0B3"/>
            </w:r>
            <w:r w:rsidRPr="00537B92">
              <w:rPr>
                <w:rFonts w:ascii="Arial" w:hAnsi="Arial" w:cs="Arial"/>
                <w:sz w:val="18"/>
                <w:szCs w:val="18"/>
              </w:rPr>
              <w:t xml:space="preserve">47 U) and LTA maximal platelet aggregation (20 mM ADP) </w:t>
            </w:r>
            <w:r w:rsidRPr="00537B92">
              <w:rPr>
                <w:rFonts w:ascii="Arial" w:hAnsi="Arial" w:cs="Arial"/>
                <w:sz w:val="18"/>
                <w:szCs w:val="18"/>
              </w:rPr>
              <w:sym w:font="Symbol" w:char="F0B3"/>
            </w:r>
            <w:r w:rsidRPr="00537B92">
              <w:rPr>
                <w:rFonts w:ascii="Arial" w:hAnsi="Arial" w:cs="Arial"/>
                <w:sz w:val="18"/>
                <w:szCs w:val="18"/>
              </w:rPr>
              <w:t xml:space="preserve">59%: kappa = 0.564; P&lt;0.001 and concordance = 81.7% </w:t>
            </w:r>
          </w:p>
          <w:p w:rsidR="00537B92" w:rsidRPr="00537B92" w:rsidRDefault="00537B92" w:rsidP="00537B92">
            <w:pPr>
              <w:widowControl w:val="0"/>
              <w:pBdr>
                <w:bottom w:val="single" w:sz="6" w:space="1" w:color="auto"/>
              </w:pBdr>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i/>
                <w:sz w:val="18"/>
                <w:szCs w:val="18"/>
              </w:rPr>
            </w:pPr>
            <w:r w:rsidRPr="00537B92">
              <w:rPr>
                <w:rFonts w:ascii="Arial" w:hAnsi="Arial" w:cs="Arial"/>
                <w:i/>
                <w:sz w:val="18"/>
                <w:szCs w:val="18"/>
              </w:rPr>
              <w:t>Analytic performance for low on-clopidogrel reactivity</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lastRenderedPageBreak/>
              <w:t xml:space="preserve">Analytic performance of LTA maximal platelet reactivity (5 </w:t>
            </w:r>
            <w:r w:rsidRPr="00537B92">
              <w:rPr>
                <w:rFonts w:ascii="Arial" w:hAnsi="Arial" w:cs="Arial"/>
                <w:sz w:val="18"/>
                <w:szCs w:val="18"/>
                <w:lang w:val="el-GR"/>
              </w:rPr>
              <w:t>μ</w:t>
            </w:r>
            <w:r w:rsidRPr="00537B92">
              <w:rPr>
                <w:rFonts w:ascii="Arial" w:hAnsi="Arial" w:cs="Arial"/>
                <w:sz w:val="18"/>
                <w:szCs w:val="18"/>
              </w:rPr>
              <w:t xml:space="preserve">M ADP) AUC = 0.714, 95% CI: 0.618, 0.809; P&lt;0.001. At the cut-off of </w:t>
            </w:r>
            <w:r w:rsidRPr="00537B92">
              <w:rPr>
                <w:rFonts w:ascii="Arial" w:hAnsi="Arial" w:cs="Arial"/>
                <w:sz w:val="18"/>
                <w:szCs w:val="18"/>
              </w:rPr>
              <w:sym w:font="Symbol" w:char="F0A3"/>
            </w:r>
            <w:r w:rsidRPr="00537B92">
              <w:rPr>
                <w:rFonts w:ascii="Arial" w:hAnsi="Arial" w:cs="Arial"/>
                <w:sz w:val="18"/>
                <w:szCs w:val="18"/>
              </w:rPr>
              <w:t>26.6%, analytic sensitivity = 64.0% and analytic specificity = 76.2%</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 xml:space="preserve">Analytic performance of LTA maximal platelet reactivity (20 </w:t>
            </w:r>
            <w:r w:rsidRPr="00537B92">
              <w:rPr>
                <w:rFonts w:ascii="Arial" w:hAnsi="Arial" w:cs="Arial"/>
                <w:sz w:val="18"/>
                <w:szCs w:val="18"/>
                <w:lang w:val="el-GR"/>
              </w:rPr>
              <w:t>μ</w:t>
            </w:r>
            <w:r w:rsidRPr="00537B92">
              <w:rPr>
                <w:rFonts w:ascii="Arial" w:hAnsi="Arial" w:cs="Arial"/>
                <w:sz w:val="18"/>
                <w:szCs w:val="18"/>
              </w:rPr>
              <w:t xml:space="preserve">M ADP) AUC = 0.796, 95% CI: 0.714, 0.879; P&lt;0.001. At the cut-off of </w:t>
            </w:r>
            <w:r w:rsidRPr="00537B92">
              <w:rPr>
                <w:rFonts w:ascii="Arial" w:hAnsi="Arial" w:cs="Arial"/>
                <w:sz w:val="18"/>
                <w:szCs w:val="18"/>
              </w:rPr>
              <w:sym w:font="Symbol" w:char="F0A3"/>
            </w:r>
            <w:r w:rsidRPr="00537B92">
              <w:rPr>
                <w:rFonts w:ascii="Arial" w:hAnsi="Arial" w:cs="Arial"/>
                <w:sz w:val="18"/>
                <w:szCs w:val="18"/>
              </w:rPr>
              <w:t>35.3%, analytic sensitivity = 64.0% and analytic specificity = 88.9%</w:t>
            </w:r>
          </w:p>
          <w:p w:rsidR="00537B92" w:rsidRPr="00537B92" w:rsidRDefault="00537B92" w:rsidP="00537B92">
            <w:pPr>
              <w:widowControl w:val="0"/>
              <w:pBdr>
                <w:bottom w:val="single" w:sz="6" w:space="1" w:color="auto"/>
              </w:pBdr>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i/>
                <w:sz w:val="18"/>
                <w:szCs w:val="18"/>
              </w:rPr>
            </w:pPr>
            <w:r w:rsidRPr="00537B92">
              <w:rPr>
                <w:rFonts w:ascii="Arial" w:hAnsi="Arial" w:cs="Arial"/>
                <w:i/>
                <w:sz w:val="18"/>
                <w:szCs w:val="18"/>
              </w:rPr>
              <w:t>Agreement for low on-clopidogrel reactivity</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Agreement between ADPtest (</w:t>
            </w:r>
            <w:r w:rsidRPr="00537B92">
              <w:rPr>
                <w:rFonts w:ascii="Arial" w:hAnsi="Arial" w:cs="Arial"/>
                <w:sz w:val="18"/>
                <w:szCs w:val="18"/>
              </w:rPr>
              <w:sym w:font="Symbol" w:char="F0A3"/>
            </w:r>
            <w:r w:rsidRPr="00537B92">
              <w:rPr>
                <w:rFonts w:ascii="Arial" w:hAnsi="Arial" w:cs="Arial"/>
                <w:sz w:val="18"/>
                <w:szCs w:val="18"/>
              </w:rPr>
              <w:t xml:space="preserve">19 U), and LTA maximal platelet aggregation (5 </w:t>
            </w:r>
            <w:r w:rsidRPr="00537B92">
              <w:rPr>
                <w:rFonts w:ascii="Arial" w:hAnsi="Arial" w:cs="Arial"/>
                <w:sz w:val="18"/>
                <w:szCs w:val="18"/>
                <w:lang w:val="el-GR"/>
              </w:rPr>
              <w:t>μ</w:t>
            </w:r>
            <w:r w:rsidRPr="00537B92">
              <w:rPr>
                <w:rFonts w:ascii="Arial" w:hAnsi="Arial" w:cs="Arial"/>
                <w:sz w:val="18"/>
                <w:szCs w:val="18"/>
              </w:rPr>
              <w:t xml:space="preserve">M ADP) </w:t>
            </w:r>
            <w:r w:rsidRPr="00537B92">
              <w:rPr>
                <w:rFonts w:ascii="Arial" w:hAnsi="Arial" w:cs="Arial"/>
                <w:sz w:val="18"/>
                <w:szCs w:val="18"/>
              </w:rPr>
              <w:sym w:font="Symbol" w:char="F0A3"/>
            </w:r>
            <w:r w:rsidRPr="00537B92">
              <w:rPr>
                <w:rFonts w:ascii="Arial" w:hAnsi="Arial" w:cs="Arial"/>
                <w:sz w:val="18"/>
                <w:szCs w:val="18"/>
              </w:rPr>
              <w:t>26.6%: kappa = 0.152; P&lt;0.001 and concordance = 65.0%</w:t>
            </w:r>
          </w:p>
          <w:p w:rsidR="00537B92" w:rsidRPr="00537B92" w:rsidRDefault="00537B92" w:rsidP="00537B92">
            <w:pPr>
              <w:widowControl w:val="0"/>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Agreement between ADPtest (</w:t>
            </w:r>
            <w:r w:rsidRPr="00537B92">
              <w:rPr>
                <w:rFonts w:ascii="Arial" w:hAnsi="Arial" w:cs="Arial"/>
                <w:sz w:val="18"/>
                <w:szCs w:val="18"/>
              </w:rPr>
              <w:sym w:font="Symbol" w:char="F0A3"/>
            </w:r>
            <w:r w:rsidRPr="00537B92">
              <w:rPr>
                <w:rFonts w:ascii="Arial" w:hAnsi="Arial" w:cs="Arial"/>
                <w:sz w:val="18"/>
                <w:szCs w:val="18"/>
              </w:rPr>
              <w:t xml:space="preserve">19 U) and LTA maximal platelet </w:t>
            </w:r>
            <w:r w:rsidRPr="00537B92">
              <w:rPr>
                <w:rFonts w:ascii="Arial" w:hAnsi="Arial" w:cs="Arial"/>
                <w:sz w:val="18"/>
                <w:szCs w:val="18"/>
              </w:rPr>
              <w:lastRenderedPageBreak/>
              <w:t xml:space="preserve">aggregation (20 </w:t>
            </w:r>
            <w:r w:rsidRPr="00537B92">
              <w:rPr>
                <w:rFonts w:ascii="Arial" w:hAnsi="Arial" w:cs="Arial"/>
                <w:sz w:val="18"/>
                <w:szCs w:val="18"/>
                <w:lang w:val="el-GR"/>
              </w:rPr>
              <w:t>μ</w:t>
            </w:r>
            <w:r w:rsidRPr="00537B92">
              <w:rPr>
                <w:rFonts w:ascii="Arial" w:hAnsi="Arial" w:cs="Arial"/>
                <w:sz w:val="18"/>
                <w:szCs w:val="18"/>
              </w:rPr>
              <w:t xml:space="preserve">M ADP) </w:t>
            </w:r>
            <w:r w:rsidRPr="00537B92">
              <w:rPr>
                <w:rFonts w:ascii="Arial" w:hAnsi="Arial" w:cs="Arial"/>
                <w:sz w:val="18"/>
                <w:szCs w:val="18"/>
              </w:rPr>
              <w:sym w:font="Symbol" w:char="F0A3"/>
            </w:r>
            <w:r w:rsidRPr="00537B92">
              <w:rPr>
                <w:rFonts w:ascii="Arial" w:hAnsi="Arial" w:cs="Arial"/>
                <w:sz w:val="18"/>
                <w:szCs w:val="18"/>
              </w:rPr>
              <w:t xml:space="preserve">35.3: kappa = 0.152; P&lt;0.001 and concordance = 65.0% </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Bland-Altman analysis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maximal platelet aggregation (ADP 5 μM) and ADPtest: difference = -3.0; SD of difference = 17.6; 95% limits of agreement = -37.4 to 31.4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final platelet aggregation (ADP 5 μM) and ADPtest: difference = -14.9; SD of difference = 19.2; 95% limits of agreement = -52.5 to 22.6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maximal platelet aggregation (ADP 5 μM + PGE1) and ADPtest: difference = -9.4; SD of difference = 16.0; 95% limits of agreement = -40.8 to </w:t>
            </w:r>
            <w:r w:rsidRPr="00537B92">
              <w:rPr>
                <w:rFonts w:ascii="Arial" w:hAnsi="Arial" w:cs="Arial"/>
                <w:sz w:val="18"/>
                <w:szCs w:val="18"/>
              </w:rPr>
              <w:lastRenderedPageBreak/>
              <w:t>21.9</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final platelet aggregation (ADP 5 μM + PGE1) and ADPtest: difference = -18.5; SD of difference = 17.4; 95% limits of agreement = -52.7 to 15.6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maximal platelet reactivity (20 μM) and ADPtest: difference = 5.4; SD of difference = 18.8; 95% limits of agreement = -31.5 to 42.3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final platelet reactivity (20 μM) and ADPtest: difference = -7.3; SD of difference = 22.4; 95% limits of agreement = -51.2 to 36.6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ADPtest HS and ADPtest: difference = -15.3; SD of difference = 11.4; </w:t>
            </w:r>
            <w:r w:rsidRPr="00537B92">
              <w:rPr>
                <w:rFonts w:ascii="Arial" w:hAnsi="Arial" w:cs="Arial"/>
                <w:sz w:val="18"/>
                <w:szCs w:val="18"/>
              </w:rPr>
              <w:lastRenderedPageBreak/>
              <w:t>95% limits of agreement = -37.6 to 7.0</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maximal platelet reactivity (5 μM) and ADPtest HS: difference = 12.3; SD of difference = 18.4; 95% limits of agreement = -23.8 to 48.3</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final platelet reactivity (5 μM) and ADPtest HS: difference = 0.3; SD of difference = 20.1; 95% limits of agreement = -39.1 to 39.8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maximal platelet reactivity (5 μM + PGE1) and ADPtest HS: difference = 5.9; SD of difference = 16.5; 95% limits of agreement = -26.4 to 38.1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LTA final platelet </w:t>
            </w:r>
            <w:r w:rsidRPr="00537B92">
              <w:rPr>
                <w:rFonts w:ascii="Arial" w:hAnsi="Arial" w:cs="Arial"/>
                <w:sz w:val="18"/>
                <w:szCs w:val="18"/>
              </w:rPr>
              <w:lastRenderedPageBreak/>
              <w:t>reactivity (5 μM + PGE1) and ADPtest HS: difference = -3.2; SD of difference = 17.4; 95% limits of agreement = -37.3 to 30.8</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maximal platelet reactivity (20 μM) and ADPtest HS: difference = 20.7; SD of difference = 20.1; 95% limits of agreement = -18.8 to 60.2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final platelet reactivity (20 μM) and ADPtest HS: difference = 8.0; SD of difference = 24.5; 95% limits of agreement = -40.1 to 56.1</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Zhang</w:t>
            </w:r>
          </w:p>
          <w:p w:rsidR="00537B92" w:rsidRPr="00537B92" w:rsidRDefault="00537B92" w:rsidP="00537B92">
            <w:pPr>
              <w:rPr>
                <w:rFonts w:ascii="Arial" w:hAnsi="Arial" w:cs="Arial"/>
                <w:sz w:val="18"/>
                <w:szCs w:val="18"/>
              </w:rPr>
            </w:pPr>
            <w:r w:rsidRPr="00537B92">
              <w:rPr>
                <w:rFonts w:ascii="Arial" w:hAnsi="Arial" w:cs="Arial"/>
                <w:sz w:val="18"/>
                <w:szCs w:val="18"/>
              </w:rPr>
              <w:t>2012</w:t>
            </w:r>
          </w:p>
          <w:p w:rsidR="00537B92" w:rsidRPr="00537B92" w:rsidRDefault="00537B92" w:rsidP="00537B92">
            <w:pPr>
              <w:rPr>
                <w:rFonts w:ascii="Arial" w:hAnsi="Arial" w:cs="Arial"/>
                <w:sz w:val="18"/>
                <w:szCs w:val="18"/>
              </w:rPr>
            </w:pPr>
            <w:r w:rsidRPr="00537B92">
              <w:rPr>
                <w:rFonts w:ascii="Arial" w:hAnsi="Arial" w:cs="Arial"/>
                <w:sz w:val="18"/>
                <w:szCs w:val="18"/>
              </w:rPr>
              <w:t>Korea</w:t>
            </w:r>
          </w:p>
          <w:p w:rsidR="00537B92" w:rsidRPr="00537B92" w:rsidRDefault="00537B92" w:rsidP="00537B92">
            <w:pPr>
              <w:rPr>
                <w:rFonts w:ascii="Arial" w:hAnsi="Arial" w:cs="Arial"/>
                <w:sz w:val="18"/>
                <w:szCs w:val="18"/>
              </w:rPr>
            </w:pPr>
            <w:r w:rsidRPr="00537B92">
              <w:rPr>
                <w:rFonts w:ascii="Arial" w:hAnsi="Arial" w:cs="Arial"/>
                <w:sz w:val="18"/>
                <w:szCs w:val="18"/>
              </w:rPr>
              <w:t>22774770</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with CAD undergoing PCI in a single center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(ADP 10 μM)</w:t>
            </w:r>
          </w:p>
          <w:p w:rsidR="00537B92" w:rsidRPr="00537B92" w:rsidRDefault="00537B92" w:rsidP="00537B92">
            <w:pPr>
              <w:rPr>
                <w:rFonts w:ascii="Arial" w:hAnsi="Arial" w:cs="Arial"/>
                <w:sz w:val="18"/>
                <w:szCs w:val="18"/>
              </w:rPr>
            </w:pPr>
            <w:r w:rsidRPr="00537B92">
              <w:rPr>
                <w:rFonts w:ascii="Arial" w:hAnsi="Arial" w:cs="Arial"/>
                <w:sz w:val="18"/>
                <w:szCs w:val="18"/>
              </w:rPr>
              <w:t>[additional information NR]</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(ADP, 6.4 μM, sample anticoagulated with </w:t>
            </w:r>
            <w:r w:rsidRPr="00537B92">
              <w:rPr>
                <w:rFonts w:ascii="Arial" w:hAnsi="Arial" w:cs="Arial"/>
                <w:sz w:val="18"/>
                <w:szCs w:val="18"/>
              </w:rPr>
              <w:lastRenderedPageBreak/>
              <w:t>hirudin or citrate)</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Blood samples were obtained from the arterial sheath at the catheterization laboratory (pre-PCI) and then 24-36 h post PCI</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 xml:space="preserve">Patients were on clopidogrel maintenance treatment (75 mg/d for ≥ 5 d) or received clopidogrel loading (300 or 600 mg) ≥ 4 h pre-PCI; all </w:t>
            </w:r>
            <w:r w:rsidRPr="00537B92">
              <w:rPr>
                <w:rFonts w:ascii="Arial" w:hAnsi="Arial" w:cs="Arial"/>
                <w:sz w:val="18"/>
                <w:szCs w:val="18"/>
              </w:rPr>
              <w:lastRenderedPageBreak/>
              <w:t>patients were on aspirin maintenance treatment (100mg/d) or receive aspirin loading (300 mg) ≥ 4 h pre-PCI; patients receiving IIb/IIIa inhibitors were excluded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 xml:space="preserve">Measurement of samples with three assays to assess analytic performance at 2 timepoints (at PCI and post-PCI); assessments performed with </w:t>
            </w:r>
            <w:r w:rsidRPr="00537B92">
              <w:rPr>
                <w:rFonts w:ascii="Arial" w:hAnsi="Arial" w:cs="Arial"/>
                <w:sz w:val="18"/>
                <w:szCs w:val="18"/>
              </w:rPr>
              <w:lastRenderedPageBreak/>
              <w:t>samples treated with different anti-coagulants (pre-analytically)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119 patients</w:t>
            </w:r>
          </w:p>
        </w:tc>
        <w:tc>
          <w:tcPr>
            <w:tcW w:w="0" w:type="auto"/>
            <w:shd w:val="clear" w:color="auto" w:fill="auto"/>
          </w:tcPr>
          <w:p w:rsidR="00537B92" w:rsidRPr="00537B92" w:rsidRDefault="00537B92" w:rsidP="00537B92">
            <w:pPr>
              <w:rPr>
                <w:rFonts w:ascii="Arial" w:hAnsi="Arial" w:cs="Arial"/>
                <w:i/>
                <w:sz w:val="18"/>
                <w:szCs w:val="18"/>
              </w:rPr>
            </w:pPr>
            <w:r w:rsidRPr="00537B92">
              <w:rPr>
                <w:rFonts w:ascii="Arial" w:hAnsi="Arial" w:cs="Arial"/>
                <w:i/>
                <w:sz w:val="18"/>
                <w:szCs w:val="18"/>
              </w:rPr>
              <w:t>Using LTA as the reference standard and citrate anticoagulated samples at 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68.6%</w:t>
            </w:r>
          </w:p>
          <w:p w:rsidR="00537B92" w:rsidRPr="00537B92" w:rsidRDefault="00537B92" w:rsidP="00537B92">
            <w:pPr>
              <w:rPr>
                <w:rFonts w:ascii="Arial" w:hAnsi="Arial" w:cs="Arial"/>
                <w:sz w:val="18"/>
                <w:szCs w:val="18"/>
              </w:rPr>
            </w:pPr>
            <w:r w:rsidRPr="00537B92">
              <w:rPr>
                <w:rFonts w:ascii="Arial" w:hAnsi="Arial" w:cs="Arial"/>
                <w:sz w:val="18"/>
                <w:szCs w:val="18"/>
              </w:rPr>
              <w:t xml:space="preserve">Analytic specificity = </w:t>
            </w:r>
            <w:r w:rsidRPr="00537B92">
              <w:rPr>
                <w:rFonts w:ascii="Arial" w:hAnsi="Arial" w:cs="Arial"/>
                <w:sz w:val="18"/>
                <w:szCs w:val="18"/>
              </w:rPr>
              <w:lastRenderedPageBreak/>
              <w:t>56.1%</w:t>
            </w:r>
          </w:p>
          <w:p w:rsidR="00537B92" w:rsidRPr="00537B92" w:rsidRDefault="00537B92" w:rsidP="00537B92">
            <w:pPr>
              <w:rPr>
                <w:rFonts w:ascii="Arial" w:hAnsi="Arial" w:cs="Arial"/>
                <w:sz w:val="18"/>
                <w:szCs w:val="18"/>
              </w:rPr>
            </w:pPr>
            <w:r w:rsidRPr="00537B92">
              <w:rPr>
                <w:rFonts w:ascii="Arial" w:hAnsi="Arial" w:cs="Arial"/>
                <w:sz w:val="18"/>
                <w:szCs w:val="18"/>
              </w:rPr>
              <w:t>AUC = 0.71 (95% CI 0.62, 0.79)</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Using LTA as the reference standard and hirudin anticoagulated samples at 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86.5%</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71.8%</w:t>
            </w:r>
          </w:p>
          <w:p w:rsidR="00537B92" w:rsidRPr="00537B92" w:rsidRDefault="00537B92" w:rsidP="00537B92">
            <w:pPr>
              <w:rPr>
                <w:rFonts w:ascii="Arial" w:hAnsi="Arial" w:cs="Arial"/>
                <w:sz w:val="18"/>
                <w:szCs w:val="18"/>
              </w:rPr>
            </w:pPr>
            <w:r w:rsidRPr="00537B92">
              <w:rPr>
                <w:rFonts w:ascii="Arial" w:hAnsi="Arial" w:cs="Arial"/>
                <w:sz w:val="18"/>
                <w:szCs w:val="18"/>
              </w:rPr>
              <w:t>AUC = 0.72 (95% CI 0.63, 0.80)</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Using LTA as the reference standard and citrate anticoagulated samples post-PCI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64.0%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80.7%</w:t>
            </w:r>
          </w:p>
          <w:p w:rsidR="00537B92" w:rsidRPr="00537B92" w:rsidRDefault="00537B92" w:rsidP="00537B92">
            <w:pPr>
              <w:rPr>
                <w:rFonts w:ascii="Arial" w:hAnsi="Arial" w:cs="Arial"/>
                <w:sz w:val="18"/>
                <w:szCs w:val="18"/>
              </w:rPr>
            </w:pPr>
            <w:r w:rsidRPr="00537B92">
              <w:rPr>
                <w:rFonts w:ascii="Arial" w:hAnsi="Arial" w:cs="Arial"/>
                <w:sz w:val="18"/>
                <w:szCs w:val="18"/>
              </w:rPr>
              <w:t>AUC = 0.75 (95% CI 0.66, 0.83)</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Using LTA as the reference standard and hirudin anticoagulated samples post-PCI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Analytic sensitivity = 64.0%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80.7%</w:t>
            </w:r>
          </w:p>
          <w:p w:rsidR="00537B92" w:rsidRPr="00537B92" w:rsidRDefault="00537B92" w:rsidP="00537B92">
            <w:pPr>
              <w:rPr>
                <w:rFonts w:ascii="Arial" w:hAnsi="Arial" w:cs="Arial"/>
                <w:sz w:val="18"/>
                <w:szCs w:val="18"/>
              </w:rPr>
            </w:pPr>
            <w:r w:rsidRPr="00537B92">
              <w:rPr>
                <w:rFonts w:ascii="Arial" w:hAnsi="Arial" w:cs="Arial"/>
                <w:sz w:val="18"/>
                <w:szCs w:val="18"/>
              </w:rPr>
              <w:t>AUC = 0.77 (95% CI 0.68, 0.85)</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Using VerifyNow as the reference standard and citrate anticoagulated samples at 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56.8%</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87.5%</w:t>
            </w:r>
          </w:p>
          <w:p w:rsidR="00537B92" w:rsidRPr="00537B92" w:rsidRDefault="00537B92" w:rsidP="00537B92">
            <w:pPr>
              <w:widowControl w:val="0"/>
              <w:pBdr>
                <w:bottom w:val="single" w:sz="6" w:space="1" w:color="auto"/>
              </w:pBdr>
              <w:autoSpaceDE w:val="0"/>
              <w:autoSpaceDN w:val="0"/>
              <w:adjustRightInd w:val="0"/>
              <w:rPr>
                <w:rFonts w:ascii="Arial" w:hAnsi="Arial" w:cs="Arial"/>
                <w:sz w:val="18"/>
                <w:szCs w:val="18"/>
              </w:rPr>
            </w:pPr>
            <w:r w:rsidRPr="00537B92">
              <w:rPr>
                <w:rFonts w:ascii="Arial" w:hAnsi="Arial" w:cs="Arial"/>
                <w:sz w:val="18"/>
                <w:szCs w:val="18"/>
              </w:rPr>
              <w:t>AUC = 0.74 (0.65–0.82)</w:t>
            </w:r>
          </w:p>
          <w:p w:rsidR="00537B92" w:rsidRPr="00537B92" w:rsidRDefault="00537B92" w:rsidP="00537B92">
            <w:pPr>
              <w:widowControl w:val="0"/>
              <w:pBdr>
                <w:bottom w:val="single" w:sz="6" w:space="1" w:color="auto"/>
              </w:pBdr>
              <w:autoSpaceDE w:val="0"/>
              <w:autoSpaceDN w:val="0"/>
              <w:adjustRightInd w:val="0"/>
              <w:rPr>
                <w:rFonts w:ascii="Arial" w:hAnsi="Arial" w:cs="Arial"/>
                <w:sz w:val="18"/>
                <w:szCs w:val="18"/>
              </w:rPr>
            </w:pPr>
          </w:p>
          <w:p w:rsidR="00537B92" w:rsidRPr="00537B92" w:rsidRDefault="00537B92" w:rsidP="00537B92">
            <w:pPr>
              <w:widowControl w:val="0"/>
              <w:autoSpaceDE w:val="0"/>
              <w:autoSpaceDN w:val="0"/>
              <w:adjustRightInd w:val="0"/>
              <w:rPr>
                <w:rFonts w:ascii="Arial" w:hAnsi="Arial" w:cs="Arial"/>
                <w:i/>
                <w:sz w:val="18"/>
                <w:szCs w:val="18"/>
              </w:rPr>
            </w:pPr>
            <w:r w:rsidRPr="00537B92">
              <w:rPr>
                <w:rFonts w:ascii="Arial" w:hAnsi="Arial" w:cs="Arial"/>
                <w:i/>
                <w:sz w:val="18"/>
                <w:szCs w:val="18"/>
              </w:rPr>
              <w:t>Using VerifyNow as the reference standard and hirudin anticoagulated samples at 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72.6%</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66.7%</w:t>
            </w:r>
          </w:p>
          <w:p w:rsidR="00537B92" w:rsidRPr="00537B92" w:rsidRDefault="00537B92" w:rsidP="00537B92">
            <w:pPr>
              <w:rPr>
                <w:rFonts w:ascii="Arial" w:hAnsi="Arial" w:cs="Arial"/>
                <w:sz w:val="18"/>
                <w:szCs w:val="18"/>
              </w:rPr>
            </w:pPr>
            <w:r w:rsidRPr="00537B92">
              <w:rPr>
                <w:rFonts w:ascii="Arial" w:hAnsi="Arial" w:cs="Arial"/>
                <w:sz w:val="18"/>
                <w:szCs w:val="18"/>
              </w:rPr>
              <w:t>AUC = 0.69 (95% CI 0.60, 0.78)</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 xml:space="preserve">Using VerifyNow as the reference standard and citrate </w:t>
            </w:r>
            <w:r w:rsidRPr="00537B92">
              <w:rPr>
                <w:rFonts w:ascii="Arial" w:hAnsi="Arial" w:cs="Arial"/>
                <w:i/>
                <w:sz w:val="18"/>
                <w:szCs w:val="18"/>
              </w:rPr>
              <w:lastRenderedPageBreak/>
              <w:t>anticoagulated samples post-PCI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60.0%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92.7%</w:t>
            </w:r>
          </w:p>
          <w:p w:rsidR="00537B92" w:rsidRPr="00537B92" w:rsidRDefault="00537B92" w:rsidP="00537B92">
            <w:pPr>
              <w:rPr>
                <w:rFonts w:ascii="Arial" w:hAnsi="Arial" w:cs="Arial"/>
                <w:sz w:val="18"/>
                <w:szCs w:val="18"/>
              </w:rPr>
            </w:pPr>
            <w:r w:rsidRPr="00537B92">
              <w:rPr>
                <w:rFonts w:ascii="Arial" w:hAnsi="Arial" w:cs="Arial"/>
                <w:sz w:val="18"/>
                <w:szCs w:val="18"/>
              </w:rPr>
              <w:t>AUC = 0.79 (95% CI 0.71, 0.87)</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Using VerifyNow as the reference standard and hirudin anticoagulated samples post-PCI</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Analytic sensitivity = 58.0%</w:t>
            </w:r>
          </w:p>
          <w:p w:rsidR="00537B92" w:rsidRPr="00537B92" w:rsidRDefault="00537B92" w:rsidP="00537B92">
            <w:pPr>
              <w:rPr>
                <w:rFonts w:ascii="Arial" w:hAnsi="Arial" w:cs="Arial"/>
                <w:sz w:val="18"/>
                <w:szCs w:val="18"/>
              </w:rPr>
            </w:pPr>
            <w:r w:rsidRPr="00537B92">
              <w:rPr>
                <w:rFonts w:ascii="Arial" w:hAnsi="Arial" w:cs="Arial"/>
                <w:sz w:val="18"/>
                <w:szCs w:val="18"/>
              </w:rPr>
              <w:t>Analytic specificity = 80.5%</w:t>
            </w:r>
          </w:p>
          <w:p w:rsidR="00537B92" w:rsidRPr="00537B92" w:rsidRDefault="00537B92" w:rsidP="00537B92">
            <w:pPr>
              <w:rPr>
                <w:rFonts w:ascii="Arial" w:hAnsi="Arial" w:cs="Arial"/>
                <w:sz w:val="18"/>
                <w:szCs w:val="18"/>
              </w:rPr>
            </w:pPr>
            <w:r w:rsidRPr="00537B92">
              <w:rPr>
                <w:rFonts w:ascii="Arial" w:hAnsi="Arial" w:cs="Arial"/>
                <w:sz w:val="18"/>
                <w:szCs w:val="18"/>
              </w:rPr>
              <w:t>AUC = 0.74 (95% CI 0.65, 0.82)</w:t>
            </w:r>
          </w:p>
        </w:tc>
      </w:tr>
      <w:tr w:rsidR="00537B92" w:rsidRPr="00537B92" w:rsidTr="007B0DD7">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Tsantes</w:t>
            </w:r>
          </w:p>
          <w:p w:rsidR="00537B92" w:rsidRPr="00537B92" w:rsidRDefault="00537B92" w:rsidP="00537B92">
            <w:pPr>
              <w:rPr>
                <w:rFonts w:ascii="Arial" w:hAnsi="Arial" w:cs="Arial"/>
                <w:sz w:val="18"/>
                <w:szCs w:val="18"/>
              </w:rPr>
            </w:pPr>
            <w:r w:rsidRPr="00537B92">
              <w:rPr>
                <w:rFonts w:ascii="Arial" w:hAnsi="Arial" w:cs="Arial"/>
                <w:sz w:val="18"/>
                <w:szCs w:val="18"/>
              </w:rPr>
              <w:t>2012</w:t>
            </w:r>
          </w:p>
          <w:p w:rsidR="00537B92" w:rsidRPr="00537B92" w:rsidRDefault="00537B92" w:rsidP="00537B92">
            <w:pPr>
              <w:rPr>
                <w:rFonts w:ascii="Arial" w:hAnsi="Arial" w:cs="Arial"/>
                <w:sz w:val="18"/>
                <w:szCs w:val="18"/>
              </w:rPr>
            </w:pPr>
            <w:r w:rsidRPr="00537B92">
              <w:rPr>
                <w:rFonts w:ascii="Arial" w:hAnsi="Arial" w:cs="Arial"/>
                <w:sz w:val="18"/>
                <w:szCs w:val="18"/>
              </w:rPr>
              <w:t>Greece</w:t>
            </w:r>
          </w:p>
          <w:p w:rsidR="00537B92" w:rsidRPr="00537B92" w:rsidRDefault="00537B92" w:rsidP="00537B92">
            <w:pPr>
              <w:rPr>
                <w:rFonts w:ascii="Arial" w:hAnsi="Arial" w:cs="Arial"/>
                <w:sz w:val="18"/>
                <w:szCs w:val="18"/>
              </w:rPr>
            </w:pPr>
            <w:r w:rsidRPr="00537B92">
              <w:rPr>
                <w:rFonts w:ascii="Arial" w:hAnsi="Arial" w:cs="Arial"/>
                <w:sz w:val="18"/>
                <w:szCs w:val="18"/>
              </w:rPr>
              <w:t>22646492</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Consecutive patients with coronary angiography-documented CAD, hospitalized after ACS, undergoing elective coronary angiography at a single cardiology department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(ADP 10 μM)</w:t>
            </w:r>
          </w:p>
          <w:p w:rsidR="00537B92" w:rsidRPr="00537B92" w:rsidRDefault="00537B92" w:rsidP="00537B92">
            <w:pPr>
              <w:rPr>
                <w:rFonts w:ascii="Arial" w:hAnsi="Arial" w:cs="Arial"/>
                <w:sz w:val="18"/>
                <w:szCs w:val="18"/>
              </w:rPr>
            </w:pPr>
            <w:r w:rsidRPr="00537B92">
              <w:rPr>
                <w:rFonts w:ascii="Arial" w:hAnsi="Arial" w:cs="Arial"/>
                <w:sz w:val="18"/>
                <w:szCs w:val="18"/>
              </w:rPr>
              <w:t>[Biodata-PAP-4 aggregometer, Bio/</w:t>
            </w:r>
          </w:p>
          <w:p w:rsidR="00537B92" w:rsidRPr="00537B92" w:rsidRDefault="00537B92" w:rsidP="00537B92">
            <w:pPr>
              <w:rPr>
                <w:rFonts w:ascii="Arial" w:hAnsi="Arial" w:cs="Arial"/>
                <w:sz w:val="18"/>
                <w:szCs w:val="18"/>
              </w:rPr>
            </w:pPr>
            <w:r w:rsidRPr="00537B92">
              <w:rPr>
                <w:rFonts w:ascii="Arial" w:hAnsi="Arial" w:cs="Arial"/>
                <w:sz w:val="18"/>
                <w:szCs w:val="18"/>
              </w:rPr>
              <w:t>Data Corporation, Horsham, PA]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(PFA-100 ADP/PGE1 cartridges)</w:t>
            </w:r>
          </w:p>
          <w:p w:rsidR="00537B92" w:rsidRPr="00537B92" w:rsidRDefault="00537B92" w:rsidP="00537B92">
            <w:pPr>
              <w:rPr>
                <w:rFonts w:ascii="Arial" w:hAnsi="Arial" w:cs="Arial"/>
                <w:sz w:val="18"/>
                <w:szCs w:val="18"/>
              </w:rPr>
            </w:pPr>
            <w:r w:rsidRPr="00537B92">
              <w:rPr>
                <w:rFonts w:ascii="Arial" w:hAnsi="Arial" w:cs="Arial"/>
                <w:sz w:val="18"/>
                <w:szCs w:val="18"/>
              </w:rPr>
              <w:t>[INNOVANCE PFA P2Y, Siemens Healthcare Diagnostics</w:t>
            </w:r>
          </w:p>
          <w:p w:rsidR="00537B92" w:rsidRPr="00537B92" w:rsidRDefault="00537B92" w:rsidP="00537B92">
            <w:pPr>
              <w:rPr>
                <w:rFonts w:ascii="Arial" w:hAnsi="Arial" w:cs="Arial"/>
                <w:sz w:val="18"/>
                <w:szCs w:val="18"/>
              </w:rPr>
            </w:pPr>
            <w:r w:rsidRPr="00537B92">
              <w:rPr>
                <w:rFonts w:ascii="Arial" w:hAnsi="Arial" w:cs="Arial"/>
                <w:sz w:val="18"/>
                <w:szCs w:val="18"/>
              </w:rPr>
              <w:lastRenderedPageBreak/>
              <w:t>Products GmbH, Marburg,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(ADP 6.5 μM)</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Blood samples were obtained 1-24 h after the last dose of antithrombotic medication</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were on clopidogrel maintenance therapy (75 mg/d for &gt;5 d) in combination with aspirin (100 mg/d)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two assays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90 patients</w:t>
            </w:r>
          </w:p>
          <w:p w:rsidR="00537B92" w:rsidRPr="00537B92" w:rsidRDefault="00537B92" w:rsidP="00537B92">
            <w:pPr>
              <w:rPr>
                <w:rFonts w:ascii="Arial" w:hAnsi="Arial" w:cs="Arial"/>
                <w:sz w:val="18"/>
                <w:szCs w:val="18"/>
              </w:rPr>
            </w:pPr>
            <w:r w:rsidRPr="00537B92">
              <w:rPr>
                <w:rFonts w:ascii="Arial" w:hAnsi="Arial" w:cs="Arial"/>
                <w:sz w:val="18"/>
                <w:szCs w:val="18"/>
              </w:rPr>
              <w:t>[Note: data were also presented from analyses using the VASP assay; however this information did not meet the sample size requirement for our review; N&lt;50]</w:t>
            </w:r>
          </w:p>
        </w:tc>
        <w:tc>
          <w:tcPr>
            <w:tcW w:w="0" w:type="auto"/>
            <w:shd w:val="clear" w:color="auto" w:fill="auto"/>
          </w:tcPr>
          <w:p w:rsidR="00537B92" w:rsidRPr="00537B92" w:rsidRDefault="00537B92" w:rsidP="00537B92">
            <w:pPr>
              <w:rPr>
                <w:rFonts w:ascii="Arial" w:hAnsi="Arial" w:cs="Arial"/>
                <w:i/>
                <w:sz w:val="18"/>
                <w:szCs w:val="18"/>
              </w:rPr>
            </w:pPr>
            <w:r w:rsidRPr="00537B92">
              <w:rPr>
                <w:rFonts w:ascii="Arial" w:hAnsi="Arial" w:cs="Arial"/>
                <w:i/>
                <w:sz w:val="18"/>
                <w:szCs w:val="18"/>
              </w:rPr>
              <w:t>Based on cut-offs suggested by manufacturers</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INNOVANCE PFA-100 P2Y: kappa = 0.31; SE = 0.08; P&lt;0.05 [exact p-value not reported]; concordance = 74.4%</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w:t>
            </w:r>
            <w:r w:rsidRPr="00537B92">
              <w:rPr>
                <w:rFonts w:ascii="Arial" w:hAnsi="Arial" w:cs="Arial"/>
                <w:sz w:val="18"/>
                <w:szCs w:val="18"/>
              </w:rPr>
              <w:lastRenderedPageBreak/>
              <w:t>Multiplate analyzer and INNOVANCE PFA-100 P2Y: kappa = 0.37; SE = 0.09; P&lt;0.05 [exact p-value not reported] concordance = 75.6%</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Multiplate analyzer and LTA: kappa = 0.30; SE = 0.10; P&lt;0.05 [exact p-value not reported] concordance = 85.6%</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Based on cut-offs associated with thrombotic risk (from previous publications)</w:t>
            </w:r>
          </w:p>
          <w:p w:rsidR="00537B92" w:rsidRPr="00537B92" w:rsidRDefault="00537B92" w:rsidP="00537B92">
            <w:pPr>
              <w:rPr>
                <w:rFonts w:ascii="Arial" w:hAnsi="Arial" w:cs="Arial"/>
                <w:i/>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LTA and INNOVANCE PFA-100 P2Y: kappa = 0.24; SE = 0.07; P&lt;0.05 [exact p-value not reported] concordance = 72.2%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 xml:space="preserve">Agreement between Multiplate analyzer and INNOVANCE PFA-100 P2Y: kappa = 0.20; SE = 0.06; P&lt;0.05 [exact p-value </w:t>
            </w:r>
            <w:r w:rsidRPr="00537B92">
              <w:rPr>
                <w:rFonts w:ascii="Arial" w:hAnsi="Arial" w:cs="Arial"/>
                <w:sz w:val="18"/>
                <w:szCs w:val="18"/>
              </w:rPr>
              <w:lastRenderedPageBreak/>
              <w:t>not reported] concordance = 71.1%</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Multiplate analyzer and LTA: kappa = 0.13; SE = 0.10; P=NS [p-value not reported] concordance = 90.0%</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Liang</w:t>
            </w:r>
          </w:p>
          <w:p w:rsidR="00537B92" w:rsidRPr="00537B92" w:rsidRDefault="00537B92" w:rsidP="00537B92">
            <w:pPr>
              <w:rPr>
                <w:rFonts w:ascii="Arial" w:hAnsi="Arial" w:cs="Arial"/>
                <w:sz w:val="18"/>
                <w:szCs w:val="18"/>
              </w:rPr>
            </w:pPr>
            <w:r w:rsidRPr="00537B92">
              <w:rPr>
                <w:rFonts w:ascii="Arial" w:hAnsi="Arial" w:cs="Arial"/>
                <w:sz w:val="18"/>
                <w:szCs w:val="18"/>
              </w:rPr>
              <w:t>2012</w:t>
            </w:r>
          </w:p>
          <w:p w:rsidR="00537B92" w:rsidRPr="00537B92" w:rsidRDefault="00537B92" w:rsidP="00537B92">
            <w:pPr>
              <w:rPr>
                <w:rFonts w:ascii="Arial" w:hAnsi="Arial" w:cs="Arial"/>
                <w:sz w:val="18"/>
                <w:szCs w:val="18"/>
              </w:rPr>
            </w:pPr>
            <w:r w:rsidRPr="00537B92">
              <w:rPr>
                <w:rFonts w:ascii="Arial" w:hAnsi="Arial" w:cs="Arial"/>
                <w:sz w:val="18"/>
                <w:szCs w:val="18"/>
              </w:rPr>
              <w:t>Canada</w:t>
            </w:r>
          </w:p>
          <w:p w:rsidR="00537B92" w:rsidRPr="00537B92" w:rsidRDefault="00537B92" w:rsidP="00537B92">
            <w:pPr>
              <w:rPr>
                <w:rFonts w:ascii="Arial" w:hAnsi="Arial" w:cs="Arial"/>
                <w:sz w:val="18"/>
                <w:szCs w:val="18"/>
              </w:rPr>
            </w:pPr>
            <w:r w:rsidRPr="00537B92">
              <w:rPr>
                <w:rFonts w:ascii="Arial" w:hAnsi="Arial" w:cs="Arial"/>
                <w:sz w:val="18"/>
                <w:szCs w:val="18"/>
              </w:rPr>
              <w:t>22797934</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Stable patients with established CAD on dual antiplatelet treatment; patients were participants in a factorial RCT designed to explore the possibility of an interaction between clopidogrel and aspirin treatment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LTA</w:t>
            </w:r>
          </w:p>
          <w:p w:rsidR="00537B92" w:rsidRPr="00537B92" w:rsidRDefault="00537B92" w:rsidP="00537B92">
            <w:pPr>
              <w:rPr>
                <w:rFonts w:ascii="Arial" w:hAnsi="Arial" w:cs="Arial"/>
                <w:sz w:val="18"/>
                <w:szCs w:val="18"/>
              </w:rPr>
            </w:pPr>
            <w:r w:rsidRPr="00537B92">
              <w:rPr>
                <w:rFonts w:ascii="Arial" w:hAnsi="Arial" w:cs="Arial"/>
                <w:sz w:val="18"/>
                <w:szCs w:val="18"/>
              </w:rPr>
              <w:t>(ADP 5 μmol/L)</w:t>
            </w:r>
          </w:p>
          <w:p w:rsidR="00537B92" w:rsidRPr="00537B92" w:rsidRDefault="00537B92" w:rsidP="00537B92">
            <w:pPr>
              <w:rPr>
                <w:rFonts w:ascii="Arial" w:hAnsi="Arial" w:cs="Arial"/>
                <w:sz w:val="18"/>
                <w:szCs w:val="18"/>
              </w:rPr>
            </w:pPr>
            <w:r w:rsidRPr="00537B92">
              <w:rPr>
                <w:rFonts w:ascii="Arial" w:hAnsi="Arial" w:cs="Arial"/>
                <w:sz w:val="18"/>
                <w:szCs w:val="18"/>
              </w:rPr>
              <w:t>[Chrono-log aggregometer, Model 560-Ca]</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Impedance aggregometry</w:t>
            </w:r>
          </w:p>
          <w:p w:rsidR="00537B92" w:rsidRPr="00537B92" w:rsidRDefault="00537B92" w:rsidP="00537B92">
            <w:pPr>
              <w:rPr>
                <w:rFonts w:ascii="Arial" w:hAnsi="Arial" w:cs="Arial"/>
                <w:sz w:val="18"/>
                <w:szCs w:val="18"/>
              </w:rPr>
            </w:pPr>
            <w:r w:rsidRPr="00537B92">
              <w:rPr>
                <w:rFonts w:ascii="Arial" w:hAnsi="Arial" w:cs="Arial"/>
                <w:sz w:val="18"/>
                <w:szCs w:val="18"/>
              </w:rPr>
              <w:t>(ADP 6.5 μM)</w:t>
            </w:r>
          </w:p>
          <w:p w:rsidR="00537B92" w:rsidRPr="00537B92" w:rsidRDefault="00537B92" w:rsidP="00537B92">
            <w:pPr>
              <w:rPr>
                <w:rFonts w:ascii="Arial" w:hAnsi="Arial" w:cs="Arial"/>
                <w:sz w:val="18"/>
                <w:szCs w:val="18"/>
              </w:rPr>
            </w:pPr>
            <w:r w:rsidRPr="00537B92">
              <w:rPr>
                <w:rFonts w:ascii="Arial" w:hAnsi="Arial" w:cs="Arial"/>
                <w:sz w:val="18"/>
                <w:szCs w:val="18"/>
              </w:rPr>
              <w:t>[Multiplate analyzer, Dynabyte Medical, Munich,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VASP phosphorylation assay</w:t>
            </w:r>
          </w:p>
          <w:p w:rsidR="00537B92" w:rsidRPr="00537B92" w:rsidRDefault="00537B92" w:rsidP="00537B92">
            <w:pPr>
              <w:rPr>
                <w:rFonts w:ascii="Arial" w:hAnsi="Arial" w:cs="Arial"/>
                <w:sz w:val="18"/>
                <w:szCs w:val="18"/>
              </w:rPr>
            </w:pPr>
            <w:r w:rsidRPr="00537B92">
              <w:rPr>
                <w:rFonts w:ascii="Arial" w:hAnsi="Arial" w:cs="Arial"/>
                <w:sz w:val="18"/>
                <w:szCs w:val="18"/>
              </w:rPr>
              <w:t>(PGE1 ± ADP, concentration not reported)</w:t>
            </w:r>
          </w:p>
          <w:p w:rsidR="00537B92" w:rsidRPr="00537B92" w:rsidRDefault="00537B92" w:rsidP="00537B92">
            <w:pPr>
              <w:rPr>
                <w:rFonts w:ascii="Arial" w:hAnsi="Arial" w:cs="Arial"/>
                <w:sz w:val="18"/>
                <w:szCs w:val="18"/>
              </w:rPr>
            </w:pPr>
            <w:r w:rsidRPr="00537B92">
              <w:rPr>
                <w:rFonts w:ascii="Arial" w:hAnsi="Arial" w:cs="Arial"/>
                <w:sz w:val="18"/>
                <w:szCs w:val="18"/>
              </w:rPr>
              <w:t>[PLT VASP/P2Y12 assay, BioCytex, Marseille, France]; using flow cytometry [FACSCaliber Flow Cytometer, Becton-Dickinson, San</w:t>
            </w:r>
          </w:p>
          <w:p w:rsidR="00537B92" w:rsidRPr="00537B92" w:rsidRDefault="00537B92" w:rsidP="00537B92">
            <w:pPr>
              <w:rPr>
                <w:rFonts w:ascii="Arial" w:hAnsi="Arial" w:cs="Arial"/>
                <w:sz w:val="18"/>
                <w:szCs w:val="18"/>
              </w:rPr>
            </w:pPr>
            <w:r w:rsidRPr="00537B92">
              <w:rPr>
                <w:rFonts w:ascii="Arial" w:hAnsi="Arial" w:cs="Arial"/>
                <w:sz w:val="18"/>
                <w:szCs w:val="18"/>
              </w:rPr>
              <w:t>Jose,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Blood samples were</w:t>
            </w:r>
          </w:p>
          <w:p w:rsidR="00537B92" w:rsidRPr="00537B92" w:rsidRDefault="00537B92" w:rsidP="00537B92">
            <w:pPr>
              <w:rPr>
                <w:rFonts w:ascii="Arial" w:hAnsi="Arial" w:cs="Arial"/>
                <w:sz w:val="18"/>
                <w:szCs w:val="18"/>
              </w:rPr>
            </w:pPr>
            <w:r w:rsidRPr="00537B92">
              <w:rPr>
                <w:rFonts w:ascii="Arial" w:hAnsi="Arial" w:cs="Arial"/>
                <w:sz w:val="18"/>
                <w:szCs w:val="18"/>
              </w:rPr>
              <w:t>collected 6 h post-loading on d 1 and 1 h post-treatment on d 7 and 14</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Participants where on “regular” dual antiplatelet treatment; they were randomized</w:t>
            </w:r>
          </w:p>
          <w:p w:rsidR="00537B92" w:rsidRPr="00537B92" w:rsidRDefault="00537B92" w:rsidP="00537B92">
            <w:pPr>
              <w:rPr>
                <w:rFonts w:ascii="Arial" w:hAnsi="Arial" w:cs="Arial"/>
                <w:sz w:val="18"/>
                <w:szCs w:val="18"/>
              </w:rPr>
            </w:pPr>
            <w:r w:rsidRPr="00537B92">
              <w:rPr>
                <w:rFonts w:ascii="Arial" w:hAnsi="Arial" w:cs="Arial"/>
                <w:sz w:val="18"/>
                <w:szCs w:val="18"/>
              </w:rPr>
              <w:t>to clopidogrel 600 mg loading followed by</w:t>
            </w:r>
          </w:p>
          <w:p w:rsidR="00537B92" w:rsidRPr="00537B92" w:rsidRDefault="00537B92" w:rsidP="00537B92">
            <w:pPr>
              <w:rPr>
                <w:rFonts w:ascii="Arial" w:hAnsi="Arial" w:cs="Arial"/>
                <w:sz w:val="18"/>
                <w:szCs w:val="18"/>
              </w:rPr>
            </w:pPr>
            <w:r w:rsidRPr="00537B92">
              <w:rPr>
                <w:rFonts w:ascii="Arial" w:hAnsi="Arial" w:cs="Arial"/>
                <w:sz w:val="18"/>
                <w:szCs w:val="18"/>
              </w:rPr>
              <w:t>150 mg/d for 1 wk and 75 mg/d thereafter, or to clopidogrel 300 mg loading followed by</w:t>
            </w:r>
          </w:p>
          <w:p w:rsidR="00537B92" w:rsidRPr="00537B92" w:rsidRDefault="00537B92" w:rsidP="00537B92">
            <w:pPr>
              <w:rPr>
                <w:rFonts w:ascii="Arial" w:hAnsi="Arial" w:cs="Arial"/>
                <w:sz w:val="18"/>
                <w:szCs w:val="18"/>
              </w:rPr>
            </w:pPr>
            <w:r w:rsidRPr="00537B92">
              <w:rPr>
                <w:rFonts w:ascii="Arial" w:hAnsi="Arial" w:cs="Arial"/>
                <w:sz w:val="18"/>
                <w:szCs w:val="18"/>
              </w:rPr>
              <w:t>75 mg/d, and were also randomized to aspirin 325 mg/d or 81 mg/d (2x2 factorial design); all treatments were continued for 2 wk</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Measurements with 3 assays to assess concordance (ICC)</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82 patients measured at measured at 6 h post-loading on d 1 and 1 h post-treatment on d 7 and 14</w:t>
            </w:r>
          </w:p>
        </w:tc>
        <w:tc>
          <w:tcPr>
            <w:tcW w:w="0" w:type="auto"/>
            <w:shd w:val="clear" w:color="auto" w:fill="auto"/>
          </w:tcPr>
          <w:p w:rsidR="00537B92" w:rsidRPr="00537B92" w:rsidRDefault="00537B92" w:rsidP="00537B92">
            <w:pPr>
              <w:rPr>
                <w:rFonts w:ascii="Arial" w:hAnsi="Arial" w:cs="Arial"/>
                <w:i/>
                <w:sz w:val="18"/>
                <w:szCs w:val="18"/>
              </w:rPr>
            </w:pPr>
            <w:r w:rsidRPr="00537B92">
              <w:rPr>
                <w:rFonts w:ascii="Arial" w:hAnsi="Arial" w:cs="Arial"/>
                <w:i/>
                <w:sz w:val="18"/>
                <w:szCs w:val="18"/>
              </w:rPr>
              <w:t>6 h post-loading on day 1</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LTA = 0.6446</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Multiplate = 0.4720</w:t>
            </w:r>
          </w:p>
          <w:p w:rsidR="00537B92" w:rsidRPr="00537B92" w:rsidRDefault="00537B92" w:rsidP="00537B92">
            <w:pPr>
              <w:rPr>
                <w:rFonts w:ascii="Arial" w:hAnsi="Arial" w:cs="Arial"/>
                <w:sz w:val="18"/>
                <w:szCs w:val="18"/>
              </w:rPr>
            </w:pPr>
            <w:r w:rsidRPr="00537B92">
              <w:rPr>
                <w:rFonts w:ascii="Arial" w:hAnsi="Arial" w:cs="Arial"/>
                <w:sz w:val="18"/>
                <w:szCs w:val="18"/>
              </w:rPr>
              <w:t>ICC between LTA and MEA = 0.4693</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1 h post-treatment, d 7</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LTA = 0.5570</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Multiplate = 0.4212</w:t>
            </w:r>
          </w:p>
          <w:p w:rsidR="00537B92" w:rsidRPr="00537B92" w:rsidRDefault="00537B92" w:rsidP="00537B92">
            <w:pPr>
              <w:rPr>
                <w:rFonts w:ascii="Arial" w:hAnsi="Arial" w:cs="Arial"/>
                <w:sz w:val="18"/>
                <w:szCs w:val="18"/>
              </w:rPr>
            </w:pPr>
            <w:r w:rsidRPr="00537B92">
              <w:rPr>
                <w:rFonts w:ascii="Arial" w:hAnsi="Arial" w:cs="Arial"/>
                <w:sz w:val="18"/>
                <w:szCs w:val="18"/>
              </w:rPr>
              <w:t>ICC between LTA and MEA = 0.5041</w:t>
            </w:r>
          </w:p>
          <w:p w:rsidR="00537B92" w:rsidRPr="00537B92" w:rsidRDefault="00537B92" w:rsidP="00537B92">
            <w:pPr>
              <w:pBdr>
                <w:bottom w:val="single" w:sz="6" w:space="1" w:color="auto"/>
              </w:pBdr>
              <w:rPr>
                <w:rFonts w:ascii="Arial" w:hAnsi="Arial" w:cs="Arial"/>
                <w:sz w:val="18"/>
                <w:szCs w:val="18"/>
              </w:rPr>
            </w:pPr>
          </w:p>
          <w:p w:rsidR="00537B92" w:rsidRPr="00537B92" w:rsidRDefault="00537B92" w:rsidP="00537B92">
            <w:pPr>
              <w:rPr>
                <w:rFonts w:ascii="Arial" w:hAnsi="Arial" w:cs="Arial"/>
                <w:i/>
                <w:sz w:val="18"/>
                <w:szCs w:val="18"/>
              </w:rPr>
            </w:pPr>
            <w:r w:rsidRPr="00537B92">
              <w:rPr>
                <w:rFonts w:ascii="Arial" w:hAnsi="Arial" w:cs="Arial"/>
                <w:i/>
                <w:sz w:val="18"/>
                <w:szCs w:val="18"/>
              </w:rPr>
              <w:t>1 h post-treatment, d 14</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LTA = 0.4724</w:t>
            </w:r>
          </w:p>
          <w:p w:rsidR="00537B92" w:rsidRPr="00537B92" w:rsidRDefault="00537B92" w:rsidP="00537B92">
            <w:pPr>
              <w:rPr>
                <w:rFonts w:ascii="Arial" w:hAnsi="Arial" w:cs="Arial"/>
                <w:sz w:val="18"/>
                <w:szCs w:val="18"/>
              </w:rPr>
            </w:pPr>
            <w:r w:rsidRPr="00537B92">
              <w:rPr>
                <w:rFonts w:ascii="Arial" w:hAnsi="Arial" w:cs="Arial"/>
                <w:sz w:val="18"/>
                <w:szCs w:val="18"/>
              </w:rPr>
              <w:t>ICC between VASP-PRI and Multiplate = 0.3965</w:t>
            </w:r>
          </w:p>
          <w:p w:rsidR="00537B92" w:rsidRPr="00537B92" w:rsidRDefault="00537B92" w:rsidP="00537B92">
            <w:pPr>
              <w:rPr>
                <w:rFonts w:ascii="Arial" w:hAnsi="Arial" w:cs="Arial"/>
                <w:sz w:val="18"/>
                <w:szCs w:val="18"/>
              </w:rPr>
            </w:pPr>
            <w:r w:rsidRPr="00537B92">
              <w:rPr>
                <w:rFonts w:ascii="Arial" w:hAnsi="Arial" w:cs="Arial"/>
                <w:sz w:val="18"/>
                <w:szCs w:val="18"/>
              </w:rPr>
              <w:t>ICC between LTA and MEA = 0.5022</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No significant difference between each pair of ICCs on any day</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Jang</w:t>
            </w:r>
          </w:p>
          <w:p w:rsidR="00537B92" w:rsidRPr="00537B92" w:rsidRDefault="00537B92" w:rsidP="00537B92">
            <w:pPr>
              <w:rPr>
                <w:rFonts w:ascii="Arial" w:hAnsi="Arial" w:cs="Arial"/>
                <w:sz w:val="18"/>
                <w:szCs w:val="18"/>
              </w:rPr>
            </w:pPr>
            <w:r w:rsidRPr="00537B92">
              <w:rPr>
                <w:rFonts w:ascii="Arial" w:hAnsi="Arial" w:cs="Arial"/>
                <w:sz w:val="18"/>
                <w:szCs w:val="18"/>
              </w:rPr>
              <w:t>2012</w:t>
            </w:r>
          </w:p>
          <w:p w:rsidR="00537B92" w:rsidRPr="00537B92" w:rsidRDefault="00537B92" w:rsidP="00537B92">
            <w:pPr>
              <w:rPr>
                <w:rFonts w:ascii="Arial" w:hAnsi="Arial" w:cs="Arial"/>
                <w:sz w:val="18"/>
                <w:szCs w:val="18"/>
              </w:rPr>
            </w:pPr>
            <w:r w:rsidRPr="00537B92">
              <w:rPr>
                <w:rFonts w:ascii="Arial" w:hAnsi="Arial" w:cs="Arial"/>
                <w:sz w:val="18"/>
                <w:szCs w:val="18"/>
              </w:rPr>
              <w:t>Korea</w:t>
            </w:r>
          </w:p>
          <w:p w:rsidR="00537B92" w:rsidRPr="00537B92" w:rsidRDefault="00537B92" w:rsidP="00537B92">
            <w:pPr>
              <w:rPr>
                <w:rFonts w:ascii="Arial" w:hAnsi="Arial" w:cs="Arial"/>
                <w:sz w:val="18"/>
                <w:szCs w:val="18"/>
              </w:rPr>
            </w:pPr>
            <w:r w:rsidRPr="00537B92">
              <w:rPr>
                <w:rFonts w:ascii="Arial" w:hAnsi="Arial" w:cs="Arial"/>
                <w:sz w:val="18"/>
                <w:szCs w:val="18"/>
              </w:rPr>
              <w:t>22811359</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undergoing PCI at a single cardiology center</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High shear platelet function</w:t>
            </w:r>
          </w:p>
          <w:p w:rsidR="00537B92" w:rsidRPr="00537B92" w:rsidRDefault="00537B92" w:rsidP="00537B92">
            <w:pPr>
              <w:rPr>
                <w:rFonts w:ascii="Arial" w:hAnsi="Arial" w:cs="Arial"/>
                <w:sz w:val="18"/>
                <w:szCs w:val="18"/>
              </w:rPr>
            </w:pPr>
            <w:r w:rsidRPr="00537B92">
              <w:rPr>
                <w:rFonts w:ascii="Arial" w:hAnsi="Arial" w:cs="Arial"/>
                <w:sz w:val="18"/>
                <w:szCs w:val="18"/>
              </w:rPr>
              <w:t>(PFA-100 ADP/PGE1 cartridges)</w:t>
            </w:r>
          </w:p>
          <w:p w:rsidR="00537B92" w:rsidRPr="00537B92" w:rsidRDefault="00537B92" w:rsidP="00537B92">
            <w:pPr>
              <w:rPr>
                <w:rFonts w:ascii="Arial" w:hAnsi="Arial" w:cs="Arial"/>
                <w:sz w:val="18"/>
                <w:szCs w:val="18"/>
              </w:rPr>
            </w:pPr>
            <w:r w:rsidRPr="00537B92">
              <w:rPr>
                <w:rFonts w:ascii="Arial" w:hAnsi="Arial" w:cs="Arial"/>
                <w:sz w:val="18"/>
                <w:szCs w:val="18"/>
              </w:rPr>
              <w:t>[INNOVANCE PFA P2Y, Siemens Healthcare Diagnostics</w:t>
            </w:r>
          </w:p>
          <w:p w:rsidR="00537B92" w:rsidRPr="00537B92" w:rsidRDefault="00537B92" w:rsidP="00537B92">
            <w:pPr>
              <w:rPr>
                <w:rFonts w:ascii="Arial" w:hAnsi="Arial" w:cs="Arial"/>
                <w:sz w:val="18"/>
                <w:szCs w:val="18"/>
              </w:rPr>
            </w:pPr>
            <w:r w:rsidRPr="00537B92">
              <w:rPr>
                <w:rFonts w:ascii="Arial" w:hAnsi="Arial" w:cs="Arial"/>
                <w:sz w:val="18"/>
                <w:szCs w:val="18"/>
              </w:rPr>
              <w:t>Products GmbH, Marburg, Germany]</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Blood samples were collected at 48 h post clopidogrel loading</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were preliminarily treated with aspiring (100 mg/d), followed by co-administration of clopidogrel (loading dose, 600 mg; maintenance dose, 75 mg/d)</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two assays to assess agreement</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255 patients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INNOVANCE PFA P2Y and VerifyNow %inhibition: kappa = 0.52; % concordance = 85%</w:t>
            </w:r>
          </w:p>
          <w:p w:rsidR="00537B92" w:rsidRPr="00537B92" w:rsidRDefault="00537B92" w:rsidP="00537B92">
            <w:pPr>
              <w:rPr>
                <w:rFonts w:ascii="Arial" w:hAnsi="Arial" w:cs="Arial"/>
                <w:sz w:val="18"/>
                <w:szCs w:val="18"/>
              </w:rPr>
            </w:pPr>
          </w:p>
          <w:p w:rsidR="00537B92" w:rsidRPr="00537B92" w:rsidRDefault="00537B92" w:rsidP="00537B92">
            <w:pPr>
              <w:rPr>
                <w:rFonts w:ascii="Arial" w:hAnsi="Arial" w:cs="Arial"/>
                <w:sz w:val="18"/>
                <w:szCs w:val="18"/>
              </w:rPr>
            </w:pPr>
            <w:r w:rsidRPr="00537B92">
              <w:rPr>
                <w:rFonts w:ascii="Arial" w:hAnsi="Arial" w:cs="Arial"/>
                <w:sz w:val="18"/>
                <w:szCs w:val="18"/>
              </w:rPr>
              <w:t>Agreement between INNOVANCE PFA P2Y and VerifyNow PRU: kappa = 0.44; % concordance = 79%</w:t>
            </w:r>
          </w:p>
        </w:tc>
      </w:tr>
      <w:tr w:rsidR="00537B92" w:rsidRPr="00537B92" w:rsidTr="007B0DD7">
        <w:trPr>
          <w:cantSplit/>
        </w:trPr>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lastRenderedPageBreak/>
              <w:t>Park</w:t>
            </w:r>
          </w:p>
          <w:p w:rsidR="00537B92" w:rsidRPr="00537B92" w:rsidRDefault="00537B92" w:rsidP="00537B92">
            <w:pPr>
              <w:rPr>
                <w:rFonts w:ascii="Arial" w:hAnsi="Arial" w:cs="Arial"/>
                <w:sz w:val="18"/>
                <w:szCs w:val="18"/>
              </w:rPr>
            </w:pPr>
            <w:r w:rsidRPr="00537B92">
              <w:rPr>
                <w:rFonts w:ascii="Arial" w:hAnsi="Arial" w:cs="Arial"/>
                <w:sz w:val="18"/>
                <w:szCs w:val="18"/>
              </w:rPr>
              <w:t>2011</w:t>
            </w:r>
          </w:p>
          <w:p w:rsidR="00537B92" w:rsidRPr="00537B92" w:rsidRDefault="00537B92" w:rsidP="00537B92">
            <w:pPr>
              <w:rPr>
                <w:rFonts w:ascii="Arial" w:hAnsi="Arial" w:cs="Arial"/>
                <w:sz w:val="18"/>
                <w:szCs w:val="18"/>
              </w:rPr>
            </w:pPr>
            <w:r w:rsidRPr="00537B92">
              <w:rPr>
                <w:rFonts w:ascii="Arial" w:hAnsi="Arial" w:cs="Arial"/>
                <w:sz w:val="18"/>
                <w:szCs w:val="18"/>
              </w:rPr>
              <w:t>S. Korea</w:t>
            </w:r>
          </w:p>
          <w:p w:rsidR="00537B92" w:rsidRPr="00537B92" w:rsidRDefault="00537B92" w:rsidP="00537B92">
            <w:pPr>
              <w:rPr>
                <w:rFonts w:ascii="Arial" w:hAnsi="Arial" w:cs="Arial"/>
                <w:sz w:val="18"/>
                <w:szCs w:val="18"/>
              </w:rPr>
            </w:pPr>
            <w:r w:rsidRPr="00537B92">
              <w:rPr>
                <w:rFonts w:ascii="Arial" w:hAnsi="Arial" w:cs="Arial"/>
                <w:sz w:val="18"/>
                <w:szCs w:val="18"/>
              </w:rPr>
              <w:t>21880289</w:t>
            </w:r>
          </w:p>
          <w:p w:rsidR="00537B92" w:rsidRPr="00537B92" w:rsidRDefault="00537B92" w:rsidP="00537B92">
            <w:pPr>
              <w:rPr>
                <w:rFonts w:ascii="Arial" w:hAnsi="Arial" w:cs="Arial"/>
                <w:sz w:val="18"/>
                <w:szCs w:val="18"/>
              </w:rPr>
            </w:pP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Patients undergoing PCI with stent implantation for native coronary artery stenosis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Platelet agglutination assay</w:t>
            </w:r>
          </w:p>
          <w:p w:rsidR="00537B92" w:rsidRPr="00537B92" w:rsidRDefault="00537B92" w:rsidP="00537B92">
            <w:pPr>
              <w:rPr>
                <w:rFonts w:ascii="Arial" w:hAnsi="Arial" w:cs="Arial"/>
                <w:sz w:val="18"/>
                <w:szCs w:val="18"/>
              </w:rPr>
            </w:pPr>
            <w:r w:rsidRPr="00537B92">
              <w:rPr>
                <w:rFonts w:ascii="Arial" w:hAnsi="Arial" w:cs="Arial"/>
                <w:sz w:val="18"/>
                <w:szCs w:val="18"/>
              </w:rPr>
              <w:t>(ADP cartridges)</w:t>
            </w:r>
          </w:p>
          <w:p w:rsidR="00537B92" w:rsidRPr="00537B92" w:rsidRDefault="00537B92" w:rsidP="00537B92">
            <w:pPr>
              <w:rPr>
                <w:rFonts w:ascii="Arial" w:hAnsi="Arial" w:cs="Arial"/>
                <w:sz w:val="18"/>
                <w:szCs w:val="18"/>
              </w:rPr>
            </w:pPr>
            <w:r w:rsidRPr="00537B92">
              <w:rPr>
                <w:rFonts w:ascii="Arial" w:hAnsi="Arial" w:cs="Arial"/>
                <w:sz w:val="18"/>
                <w:szCs w:val="18"/>
              </w:rPr>
              <w:t>[VerifyNow P2Y12 assay, Accumetrics, San Diego, CA]</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“After clopidogrel therapy”</w:t>
            </w:r>
          </w:p>
        </w:tc>
        <w:tc>
          <w:tcPr>
            <w:tcW w:w="0" w:type="auto"/>
            <w:shd w:val="clear" w:color="auto" w:fill="auto"/>
          </w:tcPr>
          <w:p w:rsidR="00537B92" w:rsidRPr="00537B92" w:rsidRDefault="00537B92" w:rsidP="00537B92">
            <w:pPr>
              <w:widowControl w:val="0"/>
              <w:autoSpaceDE w:val="0"/>
              <w:autoSpaceDN w:val="0"/>
              <w:adjustRightInd w:val="0"/>
              <w:rPr>
                <w:rFonts w:ascii="Arial" w:hAnsi="Arial" w:cs="Arial"/>
                <w:sz w:val="18"/>
                <w:szCs w:val="18"/>
              </w:rPr>
            </w:pPr>
            <w:r w:rsidRPr="00537B92">
              <w:rPr>
                <w:rFonts w:ascii="Arial" w:hAnsi="Arial" w:cs="Arial"/>
                <w:sz w:val="18"/>
                <w:szCs w:val="18"/>
              </w:rPr>
              <w:t xml:space="preserve">Patients taking clopidogrel for &gt;7 days underwent PCI without loading doses. Loading doses of clopidogrel (300 mg) were administered in patients who had been taking clopidogrel for &lt;7 days. Patients who were expected to undergo PCI in &lt;6 hours were given loading doses of 600 mg. Dual-antiplatelet therapy (aspirin 100 mg/day and clopidogrel 75 mg/day) was continued for </w:t>
            </w:r>
            <w:r w:rsidRPr="00537B92">
              <w:rPr>
                <w:rFonts w:ascii="Arial" w:hAnsi="Arial" w:cs="Arial"/>
                <w:sz w:val="18"/>
                <w:szCs w:val="18"/>
              </w:rPr>
              <w:sym w:font="Symbol" w:char="F0B3"/>
            </w:r>
            <w:r w:rsidRPr="00537B92">
              <w:rPr>
                <w:rFonts w:ascii="Arial" w:hAnsi="Arial" w:cs="Arial"/>
                <w:sz w:val="18"/>
                <w:szCs w:val="18"/>
              </w:rPr>
              <w:t>6 months post-PCI.</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Measurement of samples with one assay and assessment of agreement between different measures of reactivity</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809 patients</w:t>
            </w:r>
          </w:p>
        </w:tc>
        <w:tc>
          <w:tcPr>
            <w:tcW w:w="0" w:type="auto"/>
            <w:shd w:val="clear" w:color="auto" w:fill="auto"/>
          </w:tcPr>
          <w:p w:rsidR="00537B92" w:rsidRPr="00537B92" w:rsidRDefault="00537B92" w:rsidP="00537B92">
            <w:pPr>
              <w:rPr>
                <w:rFonts w:ascii="Arial" w:hAnsi="Arial" w:cs="Arial"/>
                <w:sz w:val="18"/>
                <w:szCs w:val="18"/>
              </w:rPr>
            </w:pPr>
            <w:r w:rsidRPr="00537B92">
              <w:rPr>
                <w:rFonts w:ascii="Arial" w:hAnsi="Arial" w:cs="Arial"/>
                <w:sz w:val="18"/>
                <w:szCs w:val="18"/>
              </w:rPr>
              <w:t>Agreement between P2Y12 %inhibition (cut-off 5%) and P2Y12 PRU (cut-off 275 PRU): concordant positive, 126; concordant negative, 493; positive by PRU but not %inhibition, 121; positive by %inhibition but not PRU, 69. Kappa= 0.412 (95% CI 0.343, 0.481) [calculated value]</w:t>
            </w:r>
          </w:p>
        </w:tc>
      </w:tr>
    </w:tbl>
    <w:p w:rsidR="00537B92" w:rsidRPr="00537B92" w:rsidRDefault="00537B92" w:rsidP="00537B92">
      <w:pPr>
        <w:spacing w:after="240"/>
        <w:rPr>
          <w:rFonts w:ascii="Times New Roman" w:hAnsi="Times New Roman"/>
          <w:bCs/>
          <w:sz w:val="18"/>
          <w:szCs w:val="24"/>
        </w:rPr>
      </w:pPr>
      <w:r w:rsidRPr="00537B92">
        <w:rPr>
          <w:rFonts w:ascii="Times New Roman" w:hAnsi="Times New Roman"/>
          <w:bCs/>
          <w:sz w:val="18"/>
          <w:szCs w:val="24"/>
        </w:rPr>
        <w:t>*The two tests report results in different units; thus Bland-Altman analysis is not strictly valid.</w:t>
      </w:r>
      <w:r w:rsidRPr="00537B92">
        <w:rPr>
          <w:rFonts w:ascii="Times New Roman" w:hAnsi="Times New Roman"/>
          <w:bCs/>
          <w:sz w:val="18"/>
          <w:szCs w:val="24"/>
        </w:rPr>
        <w:br/>
        <w:t>†The interpretation of “bias” (or limits of agreement) from the Bland-Altman test is not straightforward in the presence of heteroscedasticity.</w:t>
      </w:r>
      <w:r w:rsidRPr="00537B92">
        <w:rPr>
          <w:rFonts w:ascii="Times New Roman" w:hAnsi="Times New Roman"/>
          <w:bCs/>
          <w:sz w:val="18"/>
          <w:szCs w:val="24"/>
        </w:rPr>
        <w:br/>
        <w:t>‡The trial was described as “randomized,” however it appears to have been a alternate allocation design (often called, “pseudo-randomized” or “quasi-randomized” design).</w:t>
      </w:r>
      <w:r w:rsidRPr="00537B92">
        <w:rPr>
          <w:rFonts w:ascii="Times New Roman" w:hAnsi="Times New Roman"/>
          <w:bCs/>
          <w:sz w:val="18"/>
          <w:szCs w:val="24"/>
        </w:rPr>
        <w:br/>
        <w:t>§The paper also reported on a cohort of patients receiving aspirin alone. We only extracted data from patients on clopidogrel.</w:t>
      </w:r>
      <w:r w:rsidRPr="00537B92">
        <w:rPr>
          <w:rFonts w:ascii="Times New Roman" w:hAnsi="Times New Roman"/>
          <w:bCs/>
          <w:sz w:val="18"/>
          <w:szCs w:val="24"/>
        </w:rPr>
        <w:br/>
      </w:r>
      <w:r w:rsidRPr="00537B92">
        <w:rPr>
          <w:rFonts w:ascii="Times New Roman" w:hAnsi="Times New Roman"/>
          <w:b/>
          <w:bCs/>
          <w:sz w:val="18"/>
          <w:szCs w:val="24"/>
        </w:rPr>
        <w:t>Abbreviations:</w:t>
      </w:r>
      <w:r w:rsidRPr="00537B92">
        <w:rPr>
          <w:rFonts w:ascii="Times New Roman" w:hAnsi="Times New Roman"/>
          <w:bCs/>
          <w:sz w:val="18"/>
          <w:szCs w:val="24"/>
        </w:rPr>
        <w:t xml:space="preserve"> ACS = acute coronary syndrome; ADP = adenosine diphosphate; CI = confidence interval; d = days; h = hour; ICC = intra-class correlation coefficient; LMWH = low molecular weight heparin; LTA = light transmittance aggregometry; MI = myocardial infarction; mo = month; MPA = maximal platelet aggregation; NPV = negative predictive value; NS = non-significant; NSTE = non-ST elevation; PCI = percutaneous coronary intervention; PGE1 = prostaglandin E1; PMID = PubMed identification number; PPV = positive predictive value; PRI = platelet reactivity index; PRU = platelet reactivity units; RPA = residual platelet aggregation; UA = unstable angina; UFH = unfractionated heparin; VASP = vasodilator-stimulated phosphoprotein. Percentages may not sum to 100% because of rounding. </w:t>
      </w:r>
    </w:p>
    <w:p w:rsidR="00E60974" w:rsidRPr="00537B92" w:rsidRDefault="00E60974" w:rsidP="00537B92">
      <w:bookmarkStart w:id="0" w:name="_GoBack"/>
      <w:bookmarkEnd w:id="0"/>
    </w:p>
    <w:sectPr w:rsidR="00E60974" w:rsidRPr="00537B92" w:rsidSect="00BF1F6A">
      <w:footerReference w:type="default" r:id="rId8"/>
      <w:pgSz w:w="15840" w:h="12240" w:orient="landscape"/>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04" w:rsidRDefault="004B0004" w:rsidP="00FC3BBE">
      <w:r>
        <w:separator/>
      </w:r>
    </w:p>
  </w:endnote>
  <w:endnote w:type="continuationSeparator" w:id="0">
    <w:p w:rsidR="004B0004" w:rsidRDefault="004B0004"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537B92">
          <w:rPr>
            <w:rFonts w:ascii="Times New Roman" w:hAnsi="Times New Roman"/>
            <w:noProof/>
            <w:sz w:val="24"/>
            <w:szCs w:val="24"/>
          </w:rPr>
          <w:t>72</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04" w:rsidRDefault="004B0004" w:rsidP="00FC3BBE">
      <w:r>
        <w:separator/>
      </w:r>
    </w:p>
  </w:footnote>
  <w:footnote w:type="continuationSeparator" w:id="0">
    <w:p w:rsidR="004B0004" w:rsidRDefault="004B0004"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0004"/>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37B92"/>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C2E54"/>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1F6A"/>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2E100B3-0371-4BBA-B7E1-438B1452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6341-66AE-4A54-8698-A1AB2769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11670</Words>
  <Characters>66524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2014-08-21T17:10:00Z</dcterms:modified>
</cp:coreProperties>
</file>