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H47. Evidence table (Reference ID# 1118)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42"/>
        <w:gridCol w:w="1677"/>
        <w:gridCol w:w="1697"/>
        <w:gridCol w:w="1390"/>
        <w:gridCol w:w="153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Kendrick et al., 1995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A05890" w:rsidRDefault="00AE47E8" w:rsidP="00AE47E8">
            <w:pPr>
              <w:pStyle w:val="TableText"/>
            </w:pPr>
            <w:r w:rsidRPr="00A05890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1987/1988 to </w:t>
            </w:r>
          </w:p>
          <w:p w:rsidR="00AE47E8" w:rsidRPr="003802FA" w:rsidRDefault="00AE47E8" w:rsidP="00AE47E8">
            <w:pPr>
              <w:pStyle w:val="TableText"/>
            </w:pPr>
            <w:r>
              <w:t>August 1991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 or other public prenatal clinics in 3 states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(CDC)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  <w:r>
              <w:rPr>
                <w:rFonts w:ascii="Arial" w:hAnsi="Arial" w:cs="Arial"/>
                <w:sz w:val="18"/>
                <w:szCs w:val="18"/>
              </w:rPr>
              <w:t xml:space="preserve">- clinic was unit of randomization; stratified based on yearly enrollment, experience with 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birthweight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prevention program and minority women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133C3D" w:rsidRDefault="00AE47E8" w:rsidP="00AE47E8">
            <w:pPr>
              <w:pStyle w:val="TableText"/>
            </w:pPr>
            <w:r>
              <w:t>All interventions provided information on effects of smoking on fetus, benefits of quitting, quitting techniques, developing social support, and limiting exposure to environmental smoke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133C3D" w:rsidRDefault="00AE47E8" w:rsidP="00AE47E8">
            <w:pPr>
              <w:pStyle w:val="TableText"/>
            </w:pPr>
            <w:r>
              <w:t>Medical and clinic staff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AB477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133C3D" w:rsidRDefault="00AE47E8" w:rsidP="00AE47E8">
            <w:pPr>
              <w:pStyle w:val="TableText"/>
            </w:pPr>
            <w:r>
              <w:t>Usual care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FA1BCE" w:rsidRDefault="00AE47E8" w:rsidP="00AE47E8">
            <w:pPr>
              <w:pStyle w:val="TableText"/>
            </w:pPr>
            <w:r>
              <w:t>8</w:t>
            </w:r>
            <w:r w:rsidRPr="00FA1BCE">
              <w:rPr>
                <w:vertAlign w:val="superscript"/>
              </w:rPr>
              <w:t>th</w:t>
            </w:r>
            <w:r>
              <w:t xml:space="preserve"> month pregnancy and postpartum visit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CA2B9B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>
              <w:t>Colorado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>
              <w:t>Maryland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>
              <w:t>Missouri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Pregnant smokers (one puff within 7 days before screening) or recent quitters (quit within 7 days before thought she was pregnant) at first prenatal visit</w:t>
            </w:r>
          </w:p>
          <w:p w:rsidR="00AE47E8" w:rsidRPr="00AB477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t xml:space="preserve"> 876 (7 clinics)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</w:t>
            </w:r>
            <w:r>
              <w:rPr>
                <w:b/>
              </w:rPr>
              <w:t>1b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694 (14 clinics)</w:t>
            </w:r>
          </w:p>
          <w:p w:rsidR="00AE47E8" w:rsidRDefault="00AE47E8" w:rsidP="00AE47E8">
            <w:pPr>
              <w:pStyle w:val="TableText"/>
            </w:pPr>
            <w:r w:rsidRPr="00AB4778">
              <w:rPr>
                <w:b/>
              </w:rPr>
              <w:t>G1c:</w:t>
            </w:r>
            <w:r>
              <w:t xml:space="preserve"> 938 (11 clinics)</w:t>
            </w:r>
          </w:p>
          <w:p w:rsidR="00AE47E8" w:rsidRDefault="00AE47E8" w:rsidP="00AE47E8">
            <w:pPr>
              <w:pStyle w:val="TableText"/>
            </w:pPr>
            <w:r w:rsidRPr="00AB4778">
              <w:rPr>
                <w:b/>
              </w:rPr>
              <w:t>G2a:</w:t>
            </w:r>
            <w:r>
              <w:t xml:space="preserve"> 865 (7 clinics)</w:t>
            </w:r>
          </w:p>
          <w:p w:rsidR="00AE47E8" w:rsidRDefault="00AE47E8" w:rsidP="00AE47E8">
            <w:pPr>
              <w:pStyle w:val="TableText"/>
            </w:pPr>
            <w:r w:rsidRPr="00AB4778">
              <w:rPr>
                <w:b/>
              </w:rPr>
              <w:t>G2b:</w:t>
            </w:r>
            <w:r>
              <w:t>1242 (14 clinics)</w:t>
            </w:r>
          </w:p>
          <w:p w:rsidR="00AE47E8" w:rsidRPr="003802FA" w:rsidRDefault="00AE47E8" w:rsidP="00AE47E8">
            <w:pPr>
              <w:pStyle w:val="TableText"/>
            </w:pPr>
            <w:r w:rsidRPr="00AB4778">
              <w:rPr>
                <w:b/>
              </w:rPr>
              <w:t>G2c:</w:t>
            </w:r>
            <w:r>
              <w:t xml:space="preserve"> 957 (11 clinics)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CA2B9B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n (%)</w:t>
            </w:r>
            <w:r w:rsidRPr="003802FA">
              <w:rPr>
                <w:b/>
              </w:rPr>
              <w:t>:</w:t>
            </w:r>
          </w:p>
          <w:p w:rsidR="00AE47E8" w:rsidRPr="00CA2B9B" w:rsidRDefault="00AE47E8" w:rsidP="00AE47E8">
            <w:pPr>
              <w:pStyle w:val="TableText"/>
            </w:pPr>
            <w:r>
              <w:t>Less than 20 years</w:t>
            </w:r>
          </w:p>
          <w:p w:rsidR="00AE47E8" w:rsidRPr="0075026F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 w:rsidRPr="0075026F">
              <w:t>482 (27.7)</w:t>
            </w:r>
          </w:p>
          <w:p w:rsidR="00AE47E8" w:rsidRPr="0075026F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 w:rsidRPr="0075026F">
              <w:t>513 (26.5)</w:t>
            </w:r>
          </w:p>
          <w:p w:rsidR="00AE47E8" w:rsidRPr="0075026F" w:rsidRDefault="00AE47E8" w:rsidP="00AE47E8">
            <w:pPr>
              <w:pStyle w:val="TableText"/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 w:rsidRPr="0075026F">
              <w:t>595 (31.4)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pStyle w:val="TableText"/>
            </w:pPr>
            <w:r>
              <w:t>Less than 12 years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Ga: </w:t>
            </w:r>
            <w:r>
              <w:t>647 (37.2)</w:t>
            </w:r>
            <w:r>
              <w:rPr>
                <w:b/>
              </w:rPr>
              <w:t xml:space="preserve"> </w:t>
            </w:r>
          </w:p>
          <w:p w:rsidR="00AE47E8" w:rsidRPr="006F6B57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>
              <w:t>815 (42.1)</w:t>
            </w:r>
          </w:p>
          <w:p w:rsidR="00AE47E8" w:rsidRPr="006F6B57" w:rsidRDefault="00AE47E8" w:rsidP="00AE47E8">
            <w:pPr>
              <w:pStyle w:val="TableText"/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>
              <w:t>884 (46.6)</w:t>
            </w:r>
          </w:p>
          <w:p w:rsidR="00AE47E8" w:rsidRPr="006F6B57" w:rsidRDefault="00AE47E8" w:rsidP="00AE47E8">
            <w:pPr>
              <w:pStyle w:val="TableText"/>
              <w:rPr>
                <w:b/>
              </w:rPr>
            </w:pPr>
          </w:p>
          <w:p w:rsidR="00AE47E8" w:rsidRPr="00A05890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SD:675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Ga</w:t>
            </w:r>
            <w:r w:rsidRPr="00CA2B9B">
              <w:rPr>
                <w:b/>
              </w:rPr>
              <w:t>:</w:t>
            </w:r>
            <w:r>
              <w:t xml:space="preserve"> 20.3 ± 7.6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Gb</w:t>
            </w:r>
            <w:r w:rsidRPr="00CA2B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17.6 ± 7.4</w:t>
            </w:r>
          </w:p>
          <w:p w:rsidR="00AE47E8" w:rsidRDefault="00AE47E8" w:rsidP="00AE47E8">
            <w:pPr>
              <w:pStyle w:val="TableText"/>
            </w:pPr>
            <w:proofErr w:type="spellStart"/>
            <w:r>
              <w:rPr>
                <w:b/>
              </w:rPr>
              <w:t>Gc</w:t>
            </w:r>
            <w:proofErr w:type="spellEnd"/>
            <w:r w:rsidRPr="00CA2B9B">
              <w:rPr>
                <w:b/>
              </w:rPr>
              <w:t>:</w:t>
            </w:r>
            <w:r>
              <w:t xml:space="preserve"> 18.3 ±7.5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AB4778" w:rsidRDefault="00AE47E8" w:rsidP="00AE47E8">
            <w:pPr>
              <w:pStyle w:val="TableText"/>
              <w:rPr>
                <w:b/>
              </w:rPr>
            </w:pPr>
            <w:r w:rsidRPr="00AB4778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AB4778" w:rsidRDefault="00AE47E8" w:rsidP="00AE47E8">
            <w:pPr>
              <w:pStyle w:val="TableText"/>
            </w:pPr>
            <w:r w:rsidRPr="00AB4778">
              <w:t>Nulliparous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>Ga</w:t>
            </w:r>
            <w:r w:rsidRPr="00911C27">
              <w:t>: 803 (46.1)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>Gb</w:t>
            </w:r>
            <w:r w:rsidRPr="00911C27">
              <w:t>: 881 (45.5)</w:t>
            </w:r>
          </w:p>
          <w:p w:rsidR="00AE47E8" w:rsidRPr="00911C27" w:rsidRDefault="00AE47E8" w:rsidP="00AE47E8">
            <w:pPr>
              <w:pStyle w:val="TableText"/>
            </w:pPr>
            <w:proofErr w:type="spellStart"/>
            <w:r>
              <w:rPr>
                <w:b/>
              </w:rPr>
              <w:lastRenderedPageBreak/>
              <w:t>Gc</w:t>
            </w:r>
            <w:proofErr w:type="spellEnd"/>
            <w:r>
              <w:rPr>
                <w:b/>
              </w:rPr>
              <w:t xml:space="preserve">: </w:t>
            </w:r>
            <w:r w:rsidRPr="00911C27">
              <w:t>778 (41.1)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75026F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AB477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n (%):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 w:rsidRPr="00911C27">
              <w:t>850 (70.6)</w:t>
            </w:r>
          </w:p>
          <w:p w:rsidR="00AE47E8" w:rsidRPr="00CA2B9B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 w:rsidRPr="00911C27">
              <w:t>1118 (71.</w:t>
            </w:r>
            <w:r w:rsidRPr="00CA2B9B">
              <w:t>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 w:rsidRPr="00911C27">
              <w:t>1028 (76.0)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White, non-</w:t>
            </w:r>
            <w:r w:rsidRPr="00CA2B9B">
              <w:t>Hispanic: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 w:rsidRPr="00911C27">
              <w:t>1361 (78.2)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Gb: </w:t>
            </w:r>
            <w:r w:rsidRPr="00911C27">
              <w:t>1376 (71.1)</w:t>
            </w:r>
          </w:p>
          <w:p w:rsidR="00AE47E8" w:rsidRPr="00CA2B9B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>:</w:t>
            </w:r>
            <w:r w:rsidRPr="00911C27">
              <w:t xml:space="preserve"> 1480 (78.1)</w:t>
            </w:r>
          </w:p>
          <w:p w:rsidR="00AE47E8" w:rsidRDefault="00AE47E8" w:rsidP="00AE47E8">
            <w:pPr>
              <w:pStyle w:val="TableText"/>
            </w:pPr>
            <w:r>
              <w:t>Hispanic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 w:rsidRPr="00911C27">
              <w:t>259 (14.9)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Gb:</w:t>
            </w:r>
            <w:r w:rsidRPr="00911C27">
              <w:t xml:space="preserve"> 54 (2.8)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>:</w:t>
            </w:r>
            <w:r w:rsidRPr="00911C27">
              <w:t xml:space="preserve"> 29 (1.5)</w:t>
            </w:r>
          </w:p>
          <w:p w:rsidR="00AE47E8" w:rsidRDefault="00AE47E8" w:rsidP="00AE47E8">
            <w:pPr>
              <w:pStyle w:val="TableText"/>
            </w:pPr>
            <w:r w:rsidRPr="00CA2B9B">
              <w:t>Black</w:t>
            </w:r>
          </w:p>
          <w:p w:rsidR="00AE47E8" w:rsidRPr="00911C27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 w:rsidRPr="00911C27">
              <w:t>82 (4.7)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Gb:</w:t>
            </w:r>
            <w:r w:rsidRPr="00911C27">
              <w:t xml:space="preserve"> 468 (24.2)</w:t>
            </w:r>
          </w:p>
          <w:p w:rsidR="00AE47E8" w:rsidRPr="00CA2B9B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 w:rsidRPr="00911C27">
              <w:t>362 (19.1)</w:t>
            </w:r>
          </w:p>
          <w:p w:rsidR="00AE47E8" w:rsidRPr="00911C27" w:rsidRDefault="00AE47E8" w:rsidP="00AE47E8">
            <w:pPr>
              <w:pStyle w:val="TableText"/>
            </w:pPr>
            <w:r w:rsidRPr="00CA2B9B">
              <w:t xml:space="preserve">Other: </w:t>
            </w:r>
            <w:r w:rsidRPr="00911C27">
              <w:t>39 (2.2)</w:t>
            </w:r>
          </w:p>
          <w:p w:rsidR="00AE47E8" w:rsidRPr="00CA2B9B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>
              <w:t>NR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 w:rsidRPr="00911C27">
              <w:t>38 (2.0</w:t>
            </w:r>
            <w:r>
              <w:t>)</w:t>
            </w:r>
          </w:p>
          <w:p w:rsidR="00AE47E8" w:rsidRPr="00CA2B9B" w:rsidRDefault="00AE47E8" w:rsidP="00AE47E8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Gc</w:t>
            </w:r>
            <w:proofErr w:type="spellEnd"/>
            <w:r>
              <w:rPr>
                <w:b/>
              </w:rPr>
              <w:t xml:space="preserve">: </w:t>
            </w:r>
            <w:r w:rsidRPr="00911C27">
              <w:t>24 (1.3)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AB477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AB477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8</w:t>
            </w:r>
            <w:r w:rsidRPr="00527AC9">
              <w:rPr>
                <w:vertAlign w:val="superscript"/>
              </w:rPr>
              <w:t>th</w:t>
            </w:r>
            <w:r>
              <w:t xml:space="preserve"> month among enrollment smokers</w:t>
            </w:r>
            <w:r w:rsidRPr="003802FA">
              <w:t xml:space="preserve">, </w:t>
            </w:r>
            <w:r>
              <w:t>n (%)</w:t>
            </w:r>
            <w:r w:rsidRPr="003802FA">
              <w:t>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911C27">
              <w:t>54/888 (6.1)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911C27">
              <w:t>69/1177 (5.9)</w:t>
            </w:r>
          </w:p>
          <w:p w:rsidR="00AE47E8" w:rsidRPr="00A05890" w:rsidRDefault="00AE47E8" w:rsidP="00AE47E8">
            <w:pPr>
              <w:pStyle w:val="TableText"/>
            </w:pPr>
            <w:r>
              <w:rPr>
                <w:b/>
              </w:rPr>
              <w:t>G1 vs. G2:</w:t>
            </w:r>
            <w:r>
              <w:t xml:space="preserve"> OR=</w:t>
            </w:r>
            <w:r w:rsidRPr="00A05890">
              <w:t>1.0 (95%</w:t>
            </w:r>
            <w:r>
              <w:t xml:space="preserve"> </w:t>
            </w:r>
            <w:r w:rsidRPr="00A05890">
              <w:t>CI: 0.69 to 1.6)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t xml:space="preserve"> 19/233 (8.2)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t xml:space="preserve"> 26/284</w:t>
            </w:r>
            <w:r w:rsidRPr="003802FA">
              <w:t xml:space="preserve"> </w:t>
            </w:r>
            <w:r>
              <w:t>(9.2)</w:t>
            </w:r>
          </w:p>
          <w:p w:rsidR="00AE47E8" w:rsidRPr="00A058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G1a vs. G2a: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A05890">
              <w:rPr>
                <w:rFonts w:ascii="Arial" w:hAnsi="Arial" w:cs="Arial"/>
                <w:sz w:val="18"/>
                <w:szCs w:val="18"/>
              </w:rPr>
              <w:t>1.0 (95%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890"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05890">
              <w:rPr>
                <w:rFonts w:ascii="Arial" w:hAnsi="Arial" w:cs="Arial"/>
                <w:sz w:val="18"/>
                <w:szCs w:val="18"/>
              </w:rPr>
              <w:t xml:space="preserve"> 0.31 to 3.3)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t xml:space="preserve"> 22/307 (7.2)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b</w:t>
            </w:r>
            <w:r w:rsidRPr="003802FA">
              <w:rPr>
                <w:b/>
              </w:rPr>
              <w:t>:</w:t>
            </w:r>
            <w:r>
              <w:t xml:space="preserve"> 28/546 (5.1)</w:t>
            </w:r>
            <w:r w:rsidRPr="003802FA">
              <w:t xml:space="preserve"> </w:t>
            </w:r>
          </w:p>
          <w:p w:rsidR="00AE47E8" w:rsidRPr="00A058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G1b vs. G2b: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A05890">
              <w:rPr>
                <w:rFonts w:ascii="Arial" w:hAnsi="Arial" w:cs="Arial"/>
                <w:sz w:val="18"/>
                <w:szCs w:val="18"/>
              </w:rPr>
              <w:t>1.2 (95%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890"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05890">
              <w:rPr>
                <w:rFonts w:ascii="Arial" w:hAnsi="Arial" w:cs="Arial"/>
                <w:sz w:val="18"/>
                <w:szCs w:val="18"/>
              </w:rPr>
              <w:t xml:space="preserve"> 0.01 to 86.0)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c</w:t>
            </w:r>
            <w:r w:rsidRPr="003802FA">
              <w:rPr>
                <w:b/>
              </w:rPr>
              <w:t>:</w:t>
            </w:r>
            <w:r>
              <w:t xml:space="preserve"> 13/348 (3.7)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c</w:t>
            </w:r>
            <w:r w:rsidRPr="003802FA">
              <w:rPr>
                <w:b/>
              </w:rPr>
              <w:t>:</w:t>
            </w:r>
            <w:r>
              <w:t xml:space="preserve"> 15/347</w:t>
            </w:r>
            <w:r w:rsidRPr="003802FA">
              <w:t xml:space="preserve"> </w:t>
            </w:r>
            <w:r>
              <w:t>(4.3)</w:t>
            </w:r>
          </w:p>
          <w:p w:rsidR="00AE47E8" w:rsidRPr="00A0589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G1c vs. G2c: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A05890">
              <w:rPr>
                <w:rFonts w:ascii="Arial" w:hAnsi="Arial" w:cs="Arial"/>
                <w:sz w:val="18"/>
                <w:szCs w:val="18"/>
              </w:rPr>
              <w:t>0.88 (95%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890"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05890">
              <w:rPr>
                <w:rFonts w:ascii="Arial" w:hAnsi="Arial" w:cs="Arial"/>
                <w:sz w:val="18"/>
                <w:szCs w:val="18"/>
              </w:rPr>
              <w:t xml:space="preserve"> 0.19 to 4.1)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age:</w:t>
            </w:r>
          </w:p>
          <w:p w:rsidR="00AE47E8" w:rsidRPr="00AB477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 w:rsidRPr="003802FA">
              <w:t>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p=0.186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NICU admission 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AB4778" w:rsidRDefault="00AE47E8" w:rsidP="00AE47E8">
            <w:pPr>
              <w:pStyle w:val="TableText"/>
            </w:pPr>
          </w:p>
          <w:p w:rsidR="00AE47E8" w:rsidRPr="0075026F" w:rsidRDefault="00AE47E8" w:rsidP="00AE47E8">
            <w:pPr>
              <w:pStyle w:val="TableText"/>
            </w:pPr>
            <w:r w:rsidRPr="0075026F">
              <w:t>Asthma exacerbation :</w:t>
            </w:r>
          </w:p>
          <w:p w:rsidR="00AE47E8" w:rsidRPr="0075026F" w:rsidRDefault="00AE47E8" w:rsidP="00AE47E8">
            <w:pPr>
              <w:pStyle w:val="TableText"/>
            </w:pPr>
          </w:p>
          <w:p w:rsidR="00AE47E8" w:rsidRPr="0075026F" w:rsidRDefault="00AE47E8" w:rsidP="00AE47E8">
            <w:pPr>
              <w:pStyle w:val="TableText"/>
            </w:pPr>
            <w:r w:rsidRPr="0075026F">
              <w:t xml:space="preserve">Asthma </w:t>
            </w:r>
            <w:r w:rsidRPr="0075026F">
              <w:lastRenderedPageBreak/>
              <w:t>hospitalization :</w:t>
            </w:r>
          </w:p>
          <w:p w:rsidR="00AE47E8" w:rsidRPr="0075026F" w:rsidRDefault="00AE47E8" w:rsidP="00AE47E8">
            <w:pPr>
              <w:pStyle w:val="TableText"/>
            </w:pPr>
            <w:r w:rsidRPr="0075026F">
              <w:t>NR</w:t>
            </w:r>
          </w:p>
          <w:p w:rsidR="00AE47E8" w:rsidRPr="0075026F" w:rsidRDefault="00AE47E8" w:rsidP="00AE47E8">
            <w:pPr>
              <w:pStyle w:val="TableText"/>
            </w:pPr>
          </w:p>
          <w:p w:rsidR="00AE47E8" w:rsidRPr="0075026F" w:rsidRDefault="00AE47E8" w:rsidP="00AE47E8">
            <w:pPr>
              <w:pStyle w:val="TableText"/>
            </w:pPr>
            <w:r>
              <w:t>Upper respiratory infection</w:t>
            </w:r>
            <w:r w:rsidRPr="0075026F">
              <w:t>:</w:t>
            </w:r>
          </w:p>
          <w:p w:rsidR="00AE47E8" w:rsidRPr="0075026F" w:rsidRDefault="00AE47E8" w:rsidP="00AE47E8">
            <w:pPr>
              <w:pStyle w:val="TableText"/>
            </w:pPr>
            <w:r w:rsidRPr="0075026F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AB477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DC335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DC3357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D710E4">
      <w:pPr>
        <w:pStyle w:val="TableText"/>
      </w:pPr>
      <w:bookmarkStart w:id="0" w:name="_GoBack"/>
      <w:bookmarkEnd w:id="0"/>
    </w:p>
    <w:sectPr w:rsidR="00AE47E8" w:rsidRPr="003802FA" w:rsidSect="00D710E4">
      <w:footerReference w:type="default" r:id="rId9"/>
      <w:pgSz w:w="12240" w:h="15840"/>
      <w:pgMar w:top="1440" w:right="1440" w:bottom="1440" w:left="144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2F" w:rsidRDefault="00607E2F">
      <w:r>
        <w:separator/>
      </w:r>
    </w:p>
  </w:endnote>
  <w:endnote w:type="continuationSeparator" w:id="0">
    <w:p w:rsidR="00607E2F" w:rsidRDefault="0060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D710E4">
          <w:rPr>
            <w:rFonts w:ascii="Times New Roman" w:hAnsi="Times New Roman"/>
            <w:noProof/>
            <w:sz w:val="24"/>
            <w:szCs w:val="24"/>
          </w:rPr>
          <w:t>107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2F" w:rsidRDefault="00607E2F">
      <w:r>
        <w:separator/>
      </w:r>
    </w:p>
  </w:footnote>
  <w:footnote w:type="continuationSeparator" w:id="0">
    <w:p w:rsidR="00607E2F" w:rsidRDefault="0060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07E2F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710E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C433-59F4-4B97-BBAD-F827DFC0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2519</Characters>
  <Application>Microsoft Office Word</Application>
  <DocSecurity>0</DocSecurity>
  <Lines>157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2014-03-14T06:59:00Z</dcterms:modified>
</cp:coreProperties>
</file>