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H18. Evidence table (Reference ID #495)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9"/>
        <w:gridCol w:w="1708"/>
        <w:gridCol w:w="1725"/>
        <w:gridCol w:w="1430"/>
        <w:gridCol w:w="1476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Dornelas</w:t>
            </w:r>
            <w:proofErr w:type="spellEnd"/>
            <w:r>
              <w:t xml:space="preserve"> et al., 2006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Default="00AE47E8" w:rsidP="00AE47E8">
            <w:pPr>
              <w:pStyle w:val="TableText"/>
            </w:pPr>
            <w:r>
              <w:t>USA</w:t>
            </w:r>
          </w:p>
          <w:p w:rsidR="00AE47E8" w:rsidRPr="00C12EB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Pr="00F14FBD" w:rsidRDefault="00AE47E8" w:rsidP="00AE47E8">
            <w:pPr>
              <w:pStyle w:val="TableText"/>
            </w:pPr>
            <w:r w:rsidRPr="00F14FBD"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Prenatal clinic from tertiary care community hospital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F14FB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14FB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 w:rsidRPr="0093636D">
              <w:rPr>
                <w:i/>
              </w:rPr>
              <w:t>Counseling:</w:t>
            </w:r>
            <w:r>
              <w:t xml:space="preserve"> one 90-minute psychotherapy session followed by bimonthly telephone calls after delivery</w:t>
            </w:r>
          </w:p>
          <w:p w:rsidR="00AE47E8" w:rsidRPr="00C12EB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C12EB8" w:rsidRDefault="00AE47E8" w:rsidP="00AE47E8">
            <w:pPr>
              <w:pStyle w:val="TableText"/>
            </w:pPr>
            <w:r>
              <w:t>Masters-prepared mental health counselors trained in smoking cessation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C12EB8" w:rsidRDefault="00AE47E8" w:rsidP="00AE47E8">
            <w:pPr>
              <w:pStyle w:val="TableText"/>
            </w:pPr>
            <w:r>
              <w:t>Clinic/home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C12EB8" w:rsidRDefault="00AE47E8" w:rsidP="00AE47E8">
            <w:pPr>
              <w:pStyle w:val="TableText"/>
            </w:pPr>
            <w:r w:rsidRPr="0093636D">
              <w:rPr>
                <w:i/>
              </w:rPr>
              <w:t>Usual care:</w:t>
            </w:r>
            <w:r>
              <w:t xml:space="preserve"> standard smoking cessation guidelines, training of residents and nurses, chart prompt, personalized quit message, education booklet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0F3FBE" w:rsidRDefault="00AE47E8" w:rsidP="00AE47E8">
            <w:pPr>
              <w:pStyle w:val="TableText"/>
            </w:pPr>
            <w:r>
              <w:t>End of pregnancy and 6 months postpartum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AE47E8">
            <w:pPr>
              <w:pStyle w:val="EvidenceTableBullet"/>
            </w:pPr>
            <w:r>
              <w:t>≥ 18 years old</w:t>
            </w:r>
          </w:p>
          <w:p w:rsidR="00AE47E8" w:rsidRPr="003802FA" w:rsidRDefault="00AE47E8" w:rsidP="00AE47E8">
            <w:pPr>
              <w:pStyle w:val="EvidenceTableBullet"/>
            </w:pPr>
            <w:r>
              <w:t>≤ 30 weeks gestation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Current smokers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Default="00AE47E8" w:rsidP="00AE47E8">
            <w:pPr>
              <w:pStyle w:val="EvidenceTableBullet"/>
            </w:pPr>
            <w:r>
              <w:t>Recent history (previous 6 months) of abuse or dependence on alcohol or other non-nicotine substance</w:t>
            </w:r>
          </w:p>
          <w:p w:rsidR="00AE47E8" w:rsidRDefault="00AE47E8" w:rsidP="00AE47E8">
            <w:pPr>
              <w:pStyle w:val="EvidenceTableBullet"/>
            </w:pPr>
            <w:r>
              <w:t>Major psychiatric illness</w:t>
            </w:r>
          </w:p>
          <w:p w:rsidR="00AE47E8" w:rsidRPr="00A61B57" w:rsidRDefault="00AE47E8" w:rsidP="00AE47E8">
            <w:pPr>
              <w:pStyle w:val="EvidenceTableBullet"/>
            </w:pPr>
            <w:r>
              <w:t>Lack of telephone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Pr="003802FA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53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52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Pr="00A61B57" w:rsidRDefault="00AE47E8" w:rsidP="00AE47E8">
            <w:pPr>
              <w:pStyle w:val="TableText"/>
            </w:pPr>
            <w:r w:rsidRPr="00A61B57">
              <w:t>E</w:t>
            </w:r>
            <w:r>
              <w:t>nd of pregnancy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53 (100)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52 (100)</w:t>
            </w:r>
          </w:p>
          <w:p w:rsidR="00AE47E8" w:rsidRDefault="00AE47E8" w:rsidP="00AE47E8">
            <w:pPr>
              <w:pStyle w:val="TableText"/>
            </w:pPr>
            <w:r>
              <w:t>6 months postpartum</w:t>
            </w:r>
          </w:p>
          <w:p w:rsidR="00AE47E8" w:rsidRPr="00BD4630" w:rsidRDefault="00AE47E8" w:rsidP="00AE47E8">
            <w:pPr>
              <w:pStyle w:val="TableText"/>
            </w:pPr>
            <w:r>
              <w:rPr>
                <w:b/>
              </w:rPr>
              <w:t xml:space="preserve">G1 + G2: </w:t>
            </w:r>
            <w:r>
              <w:t>86 (82)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 xml:space="preserve"> + G2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802FA">
              <w:t xml:space="preserve"> </w:t>
            </w:r>
            <w:r>
              <w:t xml:space="preserve">26.1 </w:t>
            </w:r>
            <w:r w:rsidRPr="003802FA">
              <w:t xml:space="preserve">± </w:t>
            </w:r>
            <w:r>
              <w:t>5.8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Education:</w:t>
            </w:r>
          </w:p>
          <w:p w:rsidR="00AE47E8" w:rsidRPr="00B15C0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B15C01">
              <w:rPr>
                <w:rFonts w:ascii="Arial" w:hAnsi="Arial" w:cs="Arial"/>
                <w:sz w:val="18"/>
                <w:szCs w:val="18"/>
              </w:rPr>
              <w:t>high school</w:t>
            </w:r>
            <w:r>
              <w:rPr>
                <w:rFonts w:ascii="Arial" w:hAnsi="Arial" w:cs="Arial"/>
                <w:sz w:val="18"/>
                <w:szCs w:val="18"/>
              </w:rPr>
              <w:t>, %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 xml:space="preserve"> + G2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54</w:t>
            </w:r>
          </w:p>
          <w:p w:rsidR="00AE47E8" w:rsidRDefault="00AE47E8" w:rsidP="00AE47E8">
            <w:pPr>
              <w:pStyle w:val="TableText"/>
            </w:pPr>
          </w:p>
          <w:p w:rsidR="00AE47E8" w:rsidRPr="00A61B57" w:rsidRDefault="00AE47E8" w:rsidP="00AE47E8">
            <w:pPr>
              <w:pStyle w:val="TableText"/>
              <w:rPr>
                <w:b/>
              </w:rPr>
            </w:pPr>
            <w:r w:rsidRPr="00A61B57">
              <w:rPr>
                <w:b/>
              </w:rPr>
              <w:t>Gestation:</w:t>
            </w:r>
          </w:p>
          <w:p w:rsidR="00AE47E8" w:rsidRDefault="00AE47E8" w:rsidP="00AE47E8">
            <w:pPr>
              <w:pStyle w:val="TableText"/>
            </w:pPr>
            <w:r>
              <w:t>12 to 24 weeks, %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>
              <w:t>: 71</w:t>
            </w:r>
          </w:p>
          <w:p w:rsidR="00AE47E8" w:rsidRDefault="00AE47E8" w:rsidP="00AE47E8">
            <w:pPr>
              <w:pStyle w:val="TableText"/>
            </w:pPr>
          </w:p>
          <w:p w:rsidR="00AE47E8" w:rsidRPr="00A61B57" w:rsidRDefault="00AE47E8" w:rsidP="00AE47E8">
            <w:pPr>
              <w:pStyle w:val="TableText"/>
              <w:rPr>
                <w:b/>
              </w:rPr>
            </w:pPr>
            <w:r w:rsidRPr="00A61B57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Pr="00A61B57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Pr="00B15C01" w:rsidRDefault="00AE47E8" w:rsidP="00AE47E8">
            <w:pPr>
              <w:pStyle w:val="TableText"/>
            </w:pPr>
            <w:r w:rsidRPr="00B15C01">
              <w:t>1 or more children</w:t>
            </w:r>
            <w:r>
              <w:t>, %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 xml:space="preserve"> + G2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802FA">
              <w:t xml:space="preserve"> </w:t>
            </w:r>
            <w:r>
              <w:t>77</w:t>
            </w:r>
          </w:p>
          <w:p w:rsidR="00AE47E8" w:rsidRPr="003802FA" w:rsidRDefault="00AE47E8" w:rsidP="00AE47E8">
            <w:pPr>
              <w:pStyle w:val="TableText"/>
            </w:pPr>
            <w:r>
              <w:lastRenderedPageBreak/>
              <w:t>First pregnancy, %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 xml:space="preserve"> + G2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802FA">
              <w:t xml:space="preserve"> </w:t>
            </w:r>
            <w:r>
              <w:t>11.4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A61B57" w:rsidRDefault="00AE47E8" w:rsidP="00AE47E8">
            <w:pPr>
              <w:pStyle w:val="TableText"/>
              <w:rPr>
                <w:b/>
              </w:rPr>
            </w:pPr>
            <w:r w:rsidRPr="00A61B57">
              <w:rPr>
                <w:b/>
              </w:rPr>
              <w:t>Partner status</w:t>
            </w:r>
            <w:r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Married/ live-in partner, %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>
              <w:t>: 35</w:t>
            </w:r>
          </w:p>
          <w:p w:rsidR="00AE47E8" w:rsidRDefault="00AE47E8" w:rsidP="00AE47E8">
            <w:pPr>
              <w:pStyle w:val="TableText"/>
            </w:pPr>
            <w:r>
              <w:t>Unmarried, %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>
              <w:t>: 60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A61B57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Hispanic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>
              <w:t>: 66</w:t>
            </w:r>
          </w:p>
          <w:p w:rsidR="00AE47E8" w:rsidRDefault="00AE47E8" w:rsidP="00AE47E8">
            <w:pPr>
              <w:pStyle w:val="TableText"/>
            </w:pPr>
            <w:r>
              <w:t>Caucasian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G2:</w:t>
            </w:r>
            <w:r>
              <w:t xml:space="preserve"> 17</w:t>
            </w:r>
          </w:p>
          <w:p w:rsidR="00AE47E8" w:rsidRDefault="00AE47E8" w:rsidP="00AE47E8">
            <w:pPr>
              <w:pStyle w:val="TableText"/>
            </w:pPr>
            <w:r>
              <w:t>African American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>
              <w:t>: 11</w:t>
            </w:r>
          </w:p>
          <w:p w:rsidR="00AE47E8" w:rsidRDefault="00AE47E8" w:rsidP="00AE47E8">
            <w:pPr>
              <w:pStyle w:val="TableText"/>
            </w:pPr>
            <w:r>
              <w:t>Multi-racial or other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>
              <w:t>: 6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Household income $15,000/year or less, %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>
              <w:t>: 49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0F3FBE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0F3FBE">
              <w:rPr>
                <w:rFonts w:ascii="Arial" w:hAnsi="Arial" w:cs="Arial"/>
                <w:sz w:val="18"/>
                <w:szCs w:val="18"/>
              </w:rPr>
              <w:t>Pre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F3FBE">
              <w:rPr>
                <w:rFonts w:ascii="Arial" w:hAnsi="Arial" w:cs="Arial"/>
                <w:sz w:val="18"/>
                <w:szCs w:val="18"/>
              </w:rPr>
              <w:t>pregnancy</w:t>
            </w:r>
            <w:r>
              <w:rPr>
                <w:rFonts w:ascii="Arial" w:hAnsi="Arial" w:cs="Arial"/>
                <w:sz w:val="18"/>
                <w:szCs w:val="18"/>
              </w:rPr>
              <w:t xml:space="preserve"> smoker, mean ± SD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>
              <w:t>: 20.8 ± 12.37</w:t>
            </w:r>
          </w:p>
          <w:p w:rsidR="00AE47E8" w:rsidRPr="002C1941" w:rsidRDefault="00AE47E8" w:rsidP="00AE47E8">
            <w:pPr>
              <w:pStyle w:val="TableText"/>
              <w:rPr>
                <w:b/>
              </w:rPr>
            </w:pP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Number of cigarettes per day: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 + G2: </w:t>
            </w:r>
            <w:r>
              <w:t>10.93 ± 8.90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10 or fewer cigarettes per day, %:</w:t>
            </w:r>
          </w:p>
          <w:p w:rsidR="00AE47E8" w:rsidRDefault="00AE47E8" w:rsidP="00AE47E8">
            <w:pPr>
              <w:pStyle w:val="TableText"/>
            </w:pPr>
            <w:r w:rsidRPr="00B15C01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B15C01">
              <w:rPr>
                <w:b/>
              </w:rPr>
              <w:t>G2</w:t>
            </w:r>
            <w:r>
              <w:t>: 70.5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Abstinence at end of pregnancy, %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28.3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9.6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0.015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Abstinence at 6 months postpartum, %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9.4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3.8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p=</w:t>
            </w:r>
            <w:r>
              <w:rPr>
                <w:rFonts w:ascii="Arial" w:hAnsi="Arial" w:cs="Arial"/>
                <w:sz w:val="18"/>
                <w:szCs w:val="18"/>
              </w:rPr>
              <w:t>0.251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A61B57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Fair</w:t>
            </w:r>
          </w:p>
          <w:p w:rsidR="00AE47E8" w:rsidRPr="00205405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Pr="003802FA" w:rsidRDefault="00AE47E8" w:rsidP="00AE47E8">
            <w:pPr>
              <w:pStyle w:val="TableText"/>
            </w:pPr>
            <w:r>
              <w:t>Low</w:t>
            </w:r>
            <w:r>
              <w:br/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205405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36781B">
      <w:pPr>
        <w:pStyle w:val="TableText"/>
      </w:pPr>
      <w:bookmarkStart w:id="0" w:name="_GoBack"/>
      <w:bookmarkEnd w:id="0"/>
    </w:p>
    <w:sectPr w:rsidR="00AE47E8" w:rsidRPr="003802FA" w:rsidSect="0036781B">
      <w:footerReference w:type="default" r:id="rId9"/>
      <w:pgSz w:w="12240" w:h="15840"/>
      <w:pgMar w:top="1440" w:right="1440" w:bottom="1440" w:left="1440" w:header="720" w:footer="720" w:gutter="0"/>
      <w:pgNumType w:start="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D7" w:rsidRDefault="00050CD7">
      <w:r>
        <w:separator/>
      </w:r>
    </w:p>
  </w:endnote>
  <w:endnote w:type="continuationSeparator" w:id="0">
    <w:p w:rsidR="00050CD7" w:rsidRDefault="0005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36781B">
          <w:rPr>
            <w:rFonts w:ascii="Times New Roman" w:hAnsi="Times New Roman"/>
            <w:noProof/>
            <w:sz w:val="24"/>
            <w:szCs w:val="24"/>
          </w:rPr>
          <w:t>47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D7" w:rsidRDefault="00050CD7">
      <w:r>
        <w:separator/>
      </w:r>
    </w:p>
  </w:footnote>
  <w:footnote w:type="continuationSeparator" w:id="0">
    <w:p w:rsidR="00050CD7" w:rsidRDefault="0005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0CD7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6781B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6A5E1-6695-42BF-9A59-71552CAA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2097</Characters>
  <Application>Microsoft Office Word</Application>
  <DocSecurity>0</DocSecurity>
  <Lines>131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2014-03-14T06:18:00Z</dcterms:modified>
</cp:coreProperties>
</file>