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Title"/>
      </w:pPr>
      <w:bookmarkStart w:id="0" w:name="_GoBack"/>
      <w:bookmarkEnd w:id="0"/>
      <w:proofErr w:type="gramStart"/>
      <w:r w:rsidRPr="001B3A02">
        <w:t>Evidence Table 2.</w:t>
      </w:r>
      <w:proofErr w:type="gramEnd"/>
      <w:r w:rsidRPr="001B3A02">
        <w:t xml:space="preserve"> Characteristics of study populations</w:t>
      </w:r>
    </w:p>
    <w:tbl>
      <w:tblPr>
        <w:tblStyle w:val="AHRQ12"/>
        <w:tblW w:w="129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53"/>
        <w:gridCol w:w="1148"/>
        <w:gridCol w:w="1712"/>
        <w:gridCol w:w="1612"/>
        <w:gridCol w:w="1563"/>
        <w:gridCol w:w="1368"/>
        <w:gridCol w:w="1157"/>
        <w:gridCol w:w="1222"/>
        <w:gridCol w:w="1525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65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114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Dementia Severity</w:t>
            </w:r>
          </w:p>
        </w:tc>
        <w:tc>
          <w:tcPr>
            <w:tcW w:w="171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Mean Baseline Level of Cognitive Impairment</w:t>
            </w:r>
          </w:p>
        </w:tc>
        <w:tc>
          <w:tcPr>
            <w:tcW w:w="161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Range Baseline Level of Cognitive Impairment</w:t>
            </w:r>
          </w:p>
        </w:tc>
        <w:tc>
          <w:tcPr>
            <w:tcW w:w="156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Mean Functional Status</w:t>
            </w:r>
          </w:p>
        </w:tc>
        <w:tc>
          <w:tcPr>
            <w:tcW w:w="136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Range of Functional Status</w:t>
            </w:r>
          </w:p>
        </w:tc>
        <w:tc>
          <w:tcPr>
            <w:tcW w:w="1157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Baseline Age - Mean</w:t>
            </w:r>
          </w:p>
        </w:tc>
        <w:tc>
          <w:tcPr>
            <w:tcW w:w="122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Baseline % Female</w:t>
            </w:r>
          </w:p>
        </w:tc>
        <w:tc>
          <w:tcPr>
            <w:tcW w:w="1525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 xml:space="preserve">Baseline % Non-White or by Minority Group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MMSE</w:t>
            </w:r>
            <w:r w:rsidRPr="0029044A">
              <w:br/>
              <w:t>Overall: 6.7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MMSE </w:t>
            </w:r>
            <w:r w:rsidRPr="0029044A">
              <w:br/>
              <w:t>Range</w:t>
            </w:r>
            <w:r w:rsidRPr="0029044A">
              <w:br/>
              <w:t>Overall: 0-23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84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78%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African-American</w:t>
            </w:r>
            <w:r w:rsidRPr="0029044A">
              <w:br/>
              <w:t>Overall: 13.0%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</w:r>
            <w:r w:rsidRPr="0029044A">
              <w:br/>
              <w:t>Hispanic:</w:t>
            </w:r>
            <w:r w:rsidRPr="0029044A">
              <w:br/>
              <w:t>Overall: 4.4%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</w:r>
            <w:r w:rsidRPr="0029044A">
              <w:br/>
              <w:t>Asian Overall: 2.2%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  <w:rPr>
                <w:vertAlign w:val="superscript"/>
              </w:rPr>
            </w:pPr>
            <w:r w:rsidRPr="0029044A">
              <w:t>MDS-COGS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Mild to Moderate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34.3%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29.0 %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Severe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42.9%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51.6%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Very Severe: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Men: 22.9%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19.4%</w:t>
            </w:r>
          </w:p>
          <w:p w:rsidR="00651A25" w:rsidRPr="00A95B50" w:rsidRDefault="00651A25" w:rsidP="00651A25">
            <w:pPr>
              <w:pStyle w:val="TableText"/>
            </w:pP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Need assistance Bathing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60%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76.7%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Need assistance in locomotion</w:t>
            </w:r>
            <w:r w:rsidRPr="0029044A">
              <w:br/>
              <w:t>Men: 14.3%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22.6%,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Need assistance eating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25.7%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22.6 %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Urinary incontinence </w:t>
            </w:r>
            <w:r w:rsidRPr="0029044A">
              <w:br/>
              <w:t>Men: 51.4%,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29.0%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&lt;65 years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14.3%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3.2%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65-79 years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Men: 51.4%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 32.3%</w:t>
            </w:r>
          </w:p>
          <w:p w:rsidR="00651A25" w:rsidRPr="00A95B50" w:rsidRDefault="00651A25" w:rsidP="00651A25">
            <w:pPr>
              <w:pStyle w:val="TableText"/>
              <w:rPr>
                <w:u w:val="single"/>
              </w:rPr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rPr>
                <w:u w:val="single"/>
              </w:rPr>
              <w:t>&gt;</w:t>
            </w:r>
            <w:r w:rsidRPr="0029044A">
              <w:t xml:space="preserve"> 80</w:t>
            </w:r>
            <w:r w:rsidRPr="0029044A">
              <w:br/>
              <w:t xml:space="preserve">Men: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34.3%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Women:</w:t>
            </w:r>
            <w:r w:rsidRPr="0029044A">
              <w:rPr>
                <w:rFonts w:ascii="Times" w:hAnsi="Times" w:cs="Times New Roman"/>
              </w:rPr>
              <w:t xml:space="preserve"> </w:t>
            </w:r>
            <w:r w:rsidRPr="0029044A">
              <w:t>64.5%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47%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  <w:t>G3: NR</w:t>
            </w:r>
            <w:r w:rsidRPr="0029044A">
              <w:br/>
              <w:t>G4: 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25.76%</w:t>
            </w:r>
            <w:r w:rsidRPr="0029044A">
              <w:br/>
              <w:t>G1: NR</w:t>
            </w:r>
            <w:r w:rsidRPr="0029044A">
              <w:br/>
              <w:t>G2:</w:t>
            </w:r>
            <w:r>
              <w:t xml:space="preserve"> </w:t>
            </w:r>
            <w:r w:rsidRPr="0029044A">
              <w:t>NR</w:t>
            </w:r>
            <w:r w:rsidRPr="0029044A">
              <w:br/>
              <w:t>G3: NR</w:t>
            </w:r>
            <w:r w:rsidRPr="0029044A">
              <w:br/>
              <w:t>G4: NR</w:t>
            </w:r>
            <w:r w:rsidRPr="0029044A">
              <w:br/>
            </w:r>
            <w:r w:rsidRPr="0029044A">
              <w:br/>
              <w:t>Overall Men:</w:t>
            </w:r>
            <w:r w:rsidRPr="0029044A">
              <w:br/>
              <w:t>25.7%, African American</w:t>
            </w:r>
            <w:r w:rsidRPr="0029044A">
              <w:br/>
            </w:r>
            <w:r w:rsidRPr="0029044A">
              <w:br/>
              <w:t>Overall Women:</w:t>
            </w:r>
            <w:r w:rsidRPr="0029044A">
              <w:br/>
              <w:t>25.8%, African American</w:t>
            </w:r>
          </w:p>
        </w:tc>
      </w:tr>
    </w:tbl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>Evidence Table 2.</w:t>
      </w:r>
      <w:proofErr w:type="gramEnd"/>
      <w:r w:rsidRPr="001B3A02">
        <w:t xml:space="preserve"> Characteristics of study populations (continued)</w:t>
      </w:r>
    </w:p>
    <w:tbl>
      <w:tblPr>
        <w:tblStyle w:val="AHRQ12"/>
        <w:tblW w:w="129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53"/>
        <w:gridCol w:w="1148"/>
        <w:gridCol w:w="1712"/>
        <w:gridCol w:w="1612"/>
        <w:gridCol w:w="1563"/>
        <w:gridCol w:w="1368"/>
        <w:gridCol w:w="1157"/>
        <w:gridCol w:w="1222"/>
        <w:gridCol w:w="1525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65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114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Dementia Severity</w:t>
            </w:r>
          </w:p>
        </w:tc>
        <w:tc>
          <w:tcPr>
            <w:tcW w:w="171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Mean Baseline Level of Cognitive Impairment</w:t>
            </w:r>
          </w:p>
        </w:tc>
        <w:tc>
          <w:tcPr>
            <w:tcW w:w="161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Range Baseline Level of Cognitive Impairment</w:t>
            </w:r>
          </w:p>
        </w:tc>
        <w:tc>
          <w:tcPr>
            <w:tcW w:w="1563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Mean Functional Status</w:t>
            </w:r>
          </w:p>
        </w:tc>
        <w:tc>
          <w:tcPr>
            <w:tcW w:w="136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Range of Functional Status</w:t>
            </w:r>
          </w:p>
        </w:tc>
        <w:tc>
          <w:tcPr>
            <w:tcW w:w="1157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Baseline Age - Mean</w:t>
            </w:r>
          </w:p>
        </w:tc>
        <w:tc>
          <w:tcPr>
            <w:tcW w:w="1222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Baseline % Female</w:t>
            </w:r>
          </w:p>
        </w:tc>
        <w:tc>
          <w:tcPr>
            <w:tcW w:w="1525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 xml:space="preserve">Baseline % Non-White or by Minority Group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MMSE </w:t>
            </w:r>
            <w:r w:rsidRPr="0029044A">
              <w:br/>
              <w:t xml:space="preserve">Overall: 7.81 </w:t>
            </w:r>
            <w:r w:rsidRPr="0029044A">
              <w:br/>
              <w:t xml:space="preserve">G1: 7.35 </w:t>
            </w:r>
            <w:r w:rsidRPr="0029044A">
              <w:br/>
              <w:t xml:space="preserve">G2: 8.26 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FAST function</w:t>
            </w:r>
            <w:r w:rsidRPr="0029044A">
              <w:br/>
              <w:t>Stage 4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G1:3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G2:2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Stage 5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1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0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Stage 6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33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G2:29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Stage 7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20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26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Overall: 86.55 </w:t>
            </w:r>
            <w:r w:rsidRPr="0029044A">
              <w:br/>
              <w:t xml:space="preserve">G1: 86.58 </w:t>
            </w:r>
            <w:r w:rsidRPr="0029044A">
              <w:br/>
              <w:t>G2:86.53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75%</w:t>
            </w:r>
            <w:r w:rsidRPr="0029044A">
              <w:br/>
              <w:t>G1: 73.68%</w:t>
            </w:r>
            <w:r w:rsidRPr="0029044A">
              <w:br/>
              <w:t>G2:77.19%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Leon and </w:t>
            </w:r>
            <w:proofErr w:type="spellStart"/>
            <w:r w:rsidRPr="0029044A">
              <w:t>Ory</w:t>
            </w:r>
            <w:proofErr w:type="spellEnd"/>
            <w:r w:rsidRPr="0029044A">
              <w:t>, 1999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NA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Government</w:t>
            </w:r>
          </w:p>
        </w:tc>
        <w:tc>
          <w:tcPr>
            <w:tcW w:w="1148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MDS-COGS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Overall: 6.03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6.23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5.49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 vs. G2: p &lt;0.001</w:t>
            </w:r>
          </w:p>
        </w:tc>
        <w:tc>
          <w:tcPr>
            <w:tcW w:w="1612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ADL impairment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Overall: 4.21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4.26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G2:4.09</w:t>
            </w:r>
          </w:p>
        </w:tc>
        <w:tc>
          <w:tcPr>
            <w:tcW w:w="1368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Overall: 81.55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80.43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84.48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 vs. G2: p&lt;0.001</w:t>
            </w:r>
          </w:p>
        </w:tc>
        <w:tc>
          <w:tcPr>
            <w:tcW w:w="1222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Overall: 71%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69%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77%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G1 vs. G2: p&lt;0.05 </w:t>
            </w:r>
          </w:p>
        </w:tc>
        <w:tc>
          <w:tcPr>
            <w:tcW w:w="1525" w:type="dxa"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Overall: </w:t>
            </w:r>
            <w:r w:rsidRPr="0029044A">
              <w:br/>
              <w:t xml:space="preserve">4% Mild, </w:t>
            </w:r>
            <w:r w:rsidRPr="0029044A">
              <w:br/>
              <w:t xml:space="preserve">43% moderate, </w:t>
            </w:r>
            <w:r w:rsidRPr="0029044A">
              <w:br/>
              <w:t>53% severe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  <w:t>G3: NR</w:t>
            </w:r>
            <w:r w:rsidRPr="0029044A">
              <w:br/>
              <w:t>G4: 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82.4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  <w:t>G3: NR</w:t>
            </w:r>
            <w:r w:rsidRPr="0029044A">
              <w:br/>
              <w:t>G4: 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87%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  <w:t>G3: NR</w:t>
            </w:r>
            <w:r w:rsidRPr="0029044A">
              <w:br/>
              <w:t>G4: 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6% non-white</w:t>
            </w:r>
            <w:r w:rsidRPr="0029044A">
              <w:br/>
              <w:t>G1: NR</w:t>
            </w:r>
            <w:r w:rsidRPr="0029044A">
              <w:br/>
              <w:t>G2: NR</w:t>
            </w:r>
            <w:r w:rsidRPr="0029044A">
              <w:br/>
              <w:t>G3: NR</w:t>
            </w:r>
            <w:r w:rsidRPr="0029044A">
              <w:br/>
              <w:t>G4: 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MMSE </w:t>
            </w:r>
            <w:r w:rsidRPr="0029044A">
              <w:br/>
              <w:t>Overall: NR</w:t>
            </w:r>
            <w:r w:rsidRPr="0029044A">
              <w:br/>
              <w:t>G1: 9.86</w:t>
            </w:r>
            <w:r w:rsidRPr="0029044A">
              <w:br/>
              <w:t>G2: 11.1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DBS</w:t>
            </w:r>
            <w:r w:rsidRPr="0029044A">
              <w:br/>
              <w:t>Overall: NR</w:t>
            </w:r>
            <w:r w:rsidRPr="0029044A">
              <w:br/>
              <w:t>G1: 26.0</w:t>
            </w:r>
            <w:r w:rsidRPr="0029044A">
              <w:br/>
              <w:t>G2: 24.0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84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60%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10% Black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</w:tr>
    </w:tbl>
    <w:p w:rsidR="00651A25" w:rsidRDefault="00651A25" w:rsidP="00651A25"/>
    <w:p w:rsidR="00651A25" w:rsidRDefault="00651A25" w:rsidP="00651A25">
      <w:r>
        <w:br w:type="page"/>
      </w:r>
    </w:p>
    <w:p w:rsidR="00651A25" w:rsidRPr="00143209" w:rsidRDefault="00651A25" w:rsidP="00651A25">
      <w:pPr>
        <w:pStyle w:val="TableTitle"/>
      </w:pPr>
      <w:proofErr w:type="gramStart"/>
      <w:r w:rsidRPr="00143209">
        <w:lastRenderedPageBreak/>
        <w:t>Evidence Table 2.</w:t>
      </w:r>
      <w:proofErr w:type="gramEnd"/>
      <w:r w:rsidRPr="00143209">
        <w:t xml:space="preserve"> Characteristics of study populations (continued)</w:t>
      </w:r>
    </w:p>
    <w:tbl>
      <w:tblPr>
        <w:tblStyle w:val="AHRQ12"/>
        <w:tblW w:w="129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53"/>
        <w:gridCol w:w="1148"/>
        <w:gridCol w:w="1712"/>
        <w:gridCol w:w="1612"/>
        <w:gridCol w:w="1563"/>
        <w:gridCol w:w="1368"/>
        <w:gridCol w:w="1157"/>
        <w:gridCol w:w="1222"/>
        <w:gridCol w:w="1525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653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Author, Year</w:t>
            </w:r>
            <w:r w:rsidRPr="00143209">
              <w:br/>
              <w:t>Trial Name</w:t>
            </w:r>
            <w:r w:rsidRPr="00143209">
              <w:br/>
              <w:t>Funding Source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Dementia Severity</w:t>
            </w:r>
          </w:p>
        </w:tc>
        <w:tc>
          <w:tcPr>
            <w:tcW w:w="171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Mean Baseline Level of Cognitive Impairment</w:t>
            </w:r>
          </w:p>
        </w:tc>
        <w:tc>
          <w:tcPr>
            <w:tcW w:w="161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Range Baseline Level of Cognitive Impairment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Mean Functional Status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Range of Functional Status</w:t>
            </w:r>
          </w:p>
        </w:tc>
        <w:tc>
          <w:tcPr>
            <w:tcW w:w="1157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Baseline Age - Mean</w:t>
            </w: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Baseline % Female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 xml:space="preserve">Baseline % Non-White or by Minority Group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148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Moderate to severe</w:t>
            </w:r>
          </w:p>
        </w:tc>
        <w:tc>
          <w:tcPr>
            <w:tcW w:w="1712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MDS-COGS</w:t>
            </w:r>
            <w:r w:rsidRPr="0029044A">
              <w:br/>
              <w:t>Overall: NR</w:t>
            </w:r>
            <w:r w:rsidRPr="0029044A">
              <w:br/>
              <w:t>G1: 7.7</w:t>
            </w:r>
            <w:r w:rsidRPr="0029044A">
              <w:br/>
              <w:t>G2: 6.5</w:t>
            </w:r>
            <w:r w:rsidRPr="0029044A">
              <w:br/>
            </w:r>
            <w:r w:rsidRPr="0029044A">
              <w:br/>
              <w:t>MMSE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G1: 2.2</w:t>
            </w:r>
            <w:r w:rsidRPr="0029044A">
              <w:br/>
              <w:t>G2: 2.1</w:t>
            </w:r>
          </w:p>
        </w:tc>
        <w:tc>
          <w:tcPr>
            <w:tcW w:w="1612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ADL </w:t>
            </w:r>
            <w:r w:rsidRPr="0029044A">
              <w:br/>
              <w:t>Overall: NR</w:t>
            </w:r>
            <w:r w:rsidRPr="0029044A">
              <w:br/>
              <w:t xml:space="preserve">G1: 2.9 </w:t>
            </w:r>
            <w:r w:rsidRPr="0029044A">
              <w:br/>
              <w:t xml:space="preserve">G2: 2.5 </w:t>
            </w:r>
          </w:p>
        </w:tc>
        <w:tc>
          <w:tcPr>
            <w:tcW w:w="1368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 xml:space="preserve">G1:86.0 </w:t>
            </w:r>
            <w:r w:rsidRPr="0029044A">
              <w:br/>
              <w:t xml:space="preserve">G2:86.9 </w:t>
            </w:r>
          </w:p>
        </w:tc>
        <w:tc>
          <w:tcPr>
            <w:tcW w:w="1222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G1: 73.9 %</w:t>
            </w:r>
            <w:r w:rsidRPr="0029044A">
              <w:br/>
              <w:t>G2:95.7%</w:t>
            </w:r>
          </w:p>
        </w:tc>
        <w:tc>
          <w:tcPr>
            <w:tcW w:w="1525" w:type="dxa"/>
            <w:tcBorders>
              <w:top w:val="single" w:sz="8" w:space="0" w:color="auto"/>
              <w:bottom w:val="nil"/>
            </w:tcBorders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Non-white</w:t>
            </w:r>
            <w:r w:rsidRPr="0029044A">
              <w:br/>
              <w:t>G1:10.9%</w:t>
            </w:r>
            <w:r w:rsidRPr="0029044A">
              <w:br/>
              <w:t>G2:13.0%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MDS-COGS </w:t>
            </w:r>
            <w:r w:rsidRPr="0029044A">
              <w:br/>
              <w:t>Overall: NR</w:t>
            </w:r>
            <w:r w:rsidRPr="0029044A">
              <w:br/>
              <w:t>G1: 5.3</w:t>
            </w:r>
            <w:r w:rsidRPr="0029044A">
              <w:br/>
              <w:t>G2: 5.7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MDS-ADL </w:t>
            </w:r>
            <w:r w:rsidRPr="0029044A">
              <w:br/>
              <w:t xml:space="preserve">Overall: NR </w:t>
            </w:r>
            <w:r w:rsidRPr="0029044A">
              <w:br/>
              <w:t>G1: 7.6</w:t>
            </w:r>
            <w:r w:rsidRPr="0029044A">
              <w:br/>
              <w:t>G2: 11.9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G1: 84.4</w:t>
            </w:r>
            <w:r w:rsidRPr="0029044A">
              <w:br/>
              <w:t>G2: 84.9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G1: 78.1%</w:t>
            </w:r>
            <w:r w:rsidRPr="0029044A">
              <w:br/>
              <w:t>G2: 76.2%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>African American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G1: 5.2%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G2: 17.8%</w:t>
            </w:r>
          </w:p>
          <w:p w:rsidR="00651A25" w:rsidRPr="00A95B50" w:rsidRDefault="00651A25" w:rsidP="00651A25">
            <w:pPr>
              <w:pStyle w:val="TableText"/>
            </w:pPr>
          </w:p>
          <w:p w:rsidR="00651A25" w:rsidRPr="001B3A02" w:rsidRDefault="00651A25" w:rsidP="00651A25">
            <w:pPr>
              <w:pStyle w:val="TableText"/>
            </w:pPr>
            <w:r w:rsidRPr="0029044A">
              <w:t>Other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G1: 2.6% </w:t>
            </w:r>
            <w:r w:rsidRPr="0029044A">
              <w:br/>
              <w:t xml:space="preserve">G2: 1.5%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29044A">
              <w:br/>
              <w:t>Collaborative Studies of Long-Term Care</w:t>
            </w:r>
            <w:r w:rsidRPr="0029044A">
              <w:br/>
              <w:t>Other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Tappen</w:t>
            </w:r>
            <w:proofErr w:type="spellEnd"/>
            <w:r w:rsidRPr="0029044A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MMSE </w:t>
            </w:r>
            <w:r w:rsidRPr="0029044A">
              <w:br/>
              <w:t>Overall: 6.4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84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75%</w:t>
            </w:r>
            <w:r w:rsidRPr="0029044A">
              <w:br/>
              <w:t>G1: NR</w:t>
            </w:r>
            <w:r w:rsidRPr="0029044A">
              <w:br/>
              <w:t>G2: 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Toseland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SPMSQ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Overall: NR</w:t>
            </w:r>
            <w:r w:rsidRPr="0029044A">
              <w:br/>
              <w:t xml:space="preserve">G1: 7.43 </w:t>
            </w:r>
            <w:r w:rsidRPr="0029044A">
              <w:br/>
              <w:t xml:space="preserve">G2: 7.46 </w:t>
            </w:r>
            <w:r w:rsidRPr="0029044A">
              <w:br/>
              <w:t xml:space="preserve">G3: 7.15 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Need for ADL assistance</w:t>
            </w:r>
            <w:r w:rsidRPr="0029044A">
              <w:br/>
              <w:t>Overall: NR</w:t>
            </w:r>
            <w:r w:rsidRPr="0029044A">
              <w:br/>
              <w:t xml:space="preserve">G1: 20.41 </w:t>
            </w:r>
            <w:r w:rsidRPr="0029044A">
              <w:br/>
              <w:t xml:space="preserve">G2: 21.21 </w:t>
            </w:r>
            <w:r w:rsidRPr="0029044A">
              <w:br/>
              <w:t xml:space="preserve">G3: 21.74 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88</w:t>
            </w:r>
            <w:r w:rsidRPr="0029044A">
              <w:br/>
              <w:t xml:space="preserve">G1: 87.79 </w:t>
            </w:r>
            <w:r w:rsidRPr="0029044A">
              <w:br/>
              <w:t xml:space="preserve">G2: 87.29 </w:t>
            </w:r>
            <w:r w:rsidRPr="0029044A">
              <w:br/>
              <w:t xml:space="preserve">G3: 87.78 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75%</w:t>
            </w:r>
            <w:r w:rsidRPr="0029044A">
              <w:br/>
              <w:t>G1: 86%</w:t>
            </w:r>
            <w:r w:rsidRPr="0029044A">
              <w:br/>
              <w:t>G2: 69%</w:t>
            </w:r>
            <w:r w:rsidRPr="0029044A">
              <w:br/>
              <w:t>G2: 68%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4.55% African American</w:t>
            </w:r>
            <w:r w:rsidRPr="0029044A">
              <w:br/>
              <w:t xml:space="preserve">G1: 6% </w:t>
            </w:r>
            <w:r w:rsidRPr="0029044A">
              <w:br/>
              <w:t xml:space="preserve">G2: 3% </w:t>
            </w:r>
            <w:r w:rsidRPr="0029044A">
              <w:br/>
              <w:t xml:space="preserve">G3: 4%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Whall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87.1%</w:t>
            </w:r>
            <w:r w:rsidRPr="0029044A">
              <w:br/>
              <w:t>G1: NR</w:t>
            </w:r>
            <w:r w:rsidRPr="0029044A">
              <w:br/>
              <w:t>G2:NR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Default="00651A25" w:rsidP="00651A25"/>
    <w:p w:rsidR="00651A25" w:rsidRDefault="00651A25" w:rsidP="00651A25">
      <w:r>
        <w:br w:type="page"/>
      </w:r>
    </w:p>
    <w:p w:rsidR="00651A25" w:rsidRPr="00143209" w:rsidRDefault="00651A25" w:rsidP="00651A25">
      <w:pPr>
        <w:pStyle w:val="TableTitle"/>
      </w:pPr>
      <w:proofErr w:type="gramStart"/>
      <w:r w:rsidRPr="00143209">
        <w:lastRenderedPageBreak/>
        <w:t>Evidence Table 2.</w:t>
      </w:r>
      <w:proofErr w:type="gramEnd"/>
      <w:r w:rsidRPr="00143209">
        <w:t xml:space="preserve"> Characteristics of study populations (continued)</w:t>
      </w:r>
    </w:p>
    <w:tbl>
      <w:tblPr>
        <w:tblStyle w:val="AHRQ12"/>
        <w:tblW w:w="1296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53"/>
        <w:gridCol w:w="1148"/>
        <w:gridCol w:w="1712"/>
        <w:gridCol w:w="1612"/>
        <w:gridCol w:w="1563"/>
        <w:gridCol w:w="1368"/>
        <w:gridCol w:w="1157"/>
        <w:gridCol w:w="1222"/>
        <w:gridCol w:w="1525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653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Author, Year</w:t>
            </w:r>
            <w:r w:rsidRPr="00143209">
              <w:br/>
              <w:t>Trial Name</w:t>
            </w:r>
            <w:r w:rsidRPr="00143209">
              <w:br/>
              <w:t>Funding Source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Dementia Severity</w:t>
            </w:r>
          </w:p>
        </w:tc>
        <w:tc>
          <w:tcPr>
            <w:tcW w:w="171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Mean Baseline Level of Cognitive Impairment</w:t>
            </w:r>
          </w:p>
        </w:tc>
        <w:tc>
          <w:tcPr>
            <w:tcW w:w="161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Range Baseline Level of Cognitive Impairment</w:t>
            </w:r>
          </w:p>
        </w:tc>
        <w:tc>
          <w:tcPr>
            <w:tcW w:w="1563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Mean Functional Status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Range of Functional Status</w:t>
            </w:r>
          </w:p>
        </w:tc>
        <w:tc>
          <w:tcPr>
            <w:tcW w:w="1157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Baseline Age - Mean</w:t>
            </w:r>
          </w:p>
        </w:tc>
        <w:tc>
          <w:tcPr>
            <w:tcW w:w="1222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>Baseline % Female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vAlign w:val="bottom"/>
            <w:hideMark/>
          </w:tcPr>
          <w:p w:rsidR="00651A25" w:rsidRPr="00143209" w:rsidRDefault="00651A25" w:rsidP="00651A25">
            <w:pPr>
              <w:pStyle w:val="TableText"/>
              <w:rPr>
                <w:b w:val="0"/>
              </w:rPr>
            </w:pPr>
            <w:r w:rsidRPr="00143209">
              <w:t xml:space="preserve">Baseline % Non-White or by Minority Group 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165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29044A">
              <w:br/>
              <w:t>Dementia Care Project</w:t>
            </w:r>
            <w:r w:rsidRPr="0029044A">
              <w:br/>
              <w:t>Foundation or non-profit</w:t>
            </w:r>
          </w:p>
        </w:tc>
        <w:tc>
          <w:tcPr>
            <w:tcW w:w="114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Mild to severe</w:t>
            </w:r>
          </w:p>
        </w:tc>
        <w:tc>
          <w:tcPr>
            <w:tcW w:w="17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MMSE/ MDS-COGS</w:t>
            </w:r>
            <w:r w:rsidRPr="0029044A">
              <w:br/>
              <w:t xml:space="preserve">Overall: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Mild to moderate: 152 Severe to very severe: 259</w:t>
            </w:r>
          </w:p>
        </w:tc>
        <w:tc>
          <w:tcPr>
            <w:tcW w:w="161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563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MDS-ADL</w:t>
            </w:r>
            <w:r w:rsidRPr="0029044A">
              <w:br/>
              <w:t xml:space="preserve">Overall: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0-4 ADLs: 198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5-7 ADLs: 164</w:t>
            </w:r>
          </w:p>
        </w:tc>
        <w:tc>
          <w:tcPr>
            <w:tcW w:w="136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1157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Overall: </w:t>
            </w:r>
            <w:r w:rsidRPr="0029044A">
              <w:rPr>
                <w:u w:val="single"/>
              </w:rPr>
              <w:t>&gt;</w:t>
            </w:r>
            <w:r w:rsidRPr="0029044A">
              <w:t xml:space="preserve"> 85 years: 206</w:t>
            </w:r>
          </w:p>
        </w:tc>
        <w:tc>
          <w:tcPr>
            <w:tcW w:w="1222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79.1%</w:t>
            </w:r>
          </w:p>
        </w:tc>
        <w:tc>
          <w:tcPr>
            <w:tcW w:w="1525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Overall: Non-white: 8.3%</w:t>
            </w:r>
            <w:r w:rsidRPr="0029044A">
              <w:br/>
              <w:t>White: 80.3%</w:t>
            </w:r>
          </w:p>
        </w:tc>
      </w:tr>
    </w:tbl>
    <w:p w:rsidR="00850941" w:rsidRPr="00850941" w:rsidRDefault="00651A25" w:rsidP="00850941">
      <w:pPr>
        <w:pStyle w:val="TableNote"/>
      </w:pPr>
      <w:r>
        <w:t xml:space="preserve">Abbreviations: ADL = activities of daily life; DBS = Dementia Behavior Scale; FAST = Functional Assessment Staging; G = group; MDS-COGS = Minimum Data Set Cognition Scale; MMSE = Mini-Mental State Examination; NA = not applicable; NR = not reported; SPMSQ = </w:t>
      </w:r>
      <w:r w:rsidRPr="00143209">
        <w:rPr>
          <w:rFonts w:eastAsia="Calibri"/>
        </w:rPr>
        <w:t>Short Portable Mental Status Questionnaire</w:t>
      </w:r>
      <w:r>
        <w:t>; vs. = versus.</w:t>
      </w:r>
    </w:p>
    <w:sectPr w:rsidR="00850941" w:rsidRPr="00850941" w:rsidSect="008C6E42">
      <w:footerReference w:type="default" r:id="rId9"/>
      <w:pgSz w:w="15840" w:h="12240" w:orient="landscape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AE" w:rsidRDefault="003515AE">
      <w:r>
        <w:separator/>
      </w:r>
    </w:p>
  </w:endnote>
  <w:endnote w:type="continuationSeparator" w:id="0">
    <w:p w:rsidR="003515AE" w:rsidRDefault="003515AE">
      <w:r>
        <w:continuationSeparator/>
      </w:r>
    </w:p>
  </w:endnote>
  <w:endnote w:type="continuationNotice" w:id="1">
    <w:p w:rsidR="003515AE" w:rsidRDefault="00351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3F3996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 w:rsidR="008C6E42">
          <w:rPr>
            <w:noProof/>
          </w:rPr>
          <w:t>6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AE" w:rsidRDefault="003515AE">
      <w:r>
        <w:separator/>
      </w:r>
    </w:p>
  </w:footnote>
  <w:footnote w:type="continuationSeparator" w:id="0">
    <w:p w:rsidR="003515AE" w:rsidRDefault="003515AE">
      <w:r>
        <w:continuationSeparator/>
      </w:r>
    </w:p>
  </w:footnote>
  <w:footnote w:type="continuationNotice" w:id="1">
    <w:p w:rsidR="003515AE" w:rsidRDefault="003515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15AE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2C75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3996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41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C6E42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3EC4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883-BD51-430C-AD45-75A71A70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6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5116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7</cp:revision>
  <cp:lastPrinted>2012-10-03T14:54:00Z</cp:lastPrinted>
  <dcterms:created xsi:type="dcterms:W3CDTF">2012-10-04T13:20:00Z</dcterms:created>
  <dcterms:modified xsi:type="dcterms:W3CDTF">2012-11-20T05:27:00Z</dcterms:modified>
</cp:coreProperties>
</file>